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17" w:type="dxa"/>
        <w:tblInd w:w="-198" w:type="dxa"/>
        <w:tblCellMar>
          <w:top w:w="27" w:type="dxa"/>
          <w:left w:w="108" w:type="dxa"/>
          <w:right w:w="94" w:type="dxa"/>
        </w:tblCellMar>
        <w:tblLook w:val="04A0" w:firstRow="1" w:lastRow="0" w:firstColumn="1" w:lastColumn="0" w:noHBand="0" w:noVBand="1"/>
      </w:tblPr>
      <w:tblGrid>
        <w:gridCol w:w="4809"/>
        <w:gridCol w:w="9508"/>
      </w:tblGrid>
      <w:tr w:rsidR="00AD708A" w:rsidRPr="00464664" w:rsidTr="00760099">
        <w:trPr>
          <w:trHeight w:val="801"/>
        </w:trPr>
        <w:tc>
          <w:tcPr>
            <w:tcW w:w="4809" w:type="dxa"/>
            <w:tcBorders>
              <w:top w:val="double" w:sz="15" w:space="0" w:color="000000"/>
              <w:left w:val="double" w:sz="15" w:space="0" w:color="000000"/>
              <w:bottom w:val="single" w:sz="4" w:space="0" w:color="000000"/>
              <w:right w:val="nil"/>
            </w:tcBorders>
          </w:tcPr>
          <w:p w:rsidR="00AD708A" w:rsidRPr="00464664" w:rsidRDefault="00AD708A" w:rsidP="00760099">
            <w:pPr>
              <w:rPr>
                <w:rFonts w:asciiTheme="minorHAnsi" w:hAnsiTheme="minorHAnsi" w:cstheme="minorHAnsi"/>
              </w:rPr>
            </w:pPr>
          </w:p>
        </w:tc>
        <w:tc>
          <w:tcPr>
            <w:tcW w:w="9508" w:type="dxa"/>
            <w:tcBorders>
              <w:top w:val="double" w:sz="15" w:space="0" w:color="000000"/>
              <w:left w:val="nil"/>
              <w:bottom w:val="single" w:sz="4" w:space="0" w:color="000000"/>
              <w:right w:val="double" w:sz="15" w:space="0" w:color="000000"/>
            </w:tcBorders>
          </w:tcPr>
          <w:p w:rsidR="00AD708A" w:rsidRPr="00464664" w:rsidRDefault="00AD708A" w:rsidP="00760099">
            <w:pPr>
              <w:spacing w:after="54"/>
              <w:ind w:left="2611"/>
              <w:rPr>
                <w:rFonts w:asciiTheme="minorHAnsi" w:hAnsiTheme="minorHAnsi" w:cstheme="minorHAnsi"/>
              </w:rPr>
            </w:pPr>
            <w:r w:rsidRPr="00464664">
              <w:rPr>
                <w:rFonts w:asciiTheme="minorHAnsi" w:eastAsia="Times New Roman" w:hAnsiTheme="minorHAnsi" w:cstheme="minorHAnsi"/>
              </w:rPr>
              <w:t xml:space="preserve"> </w:t>
            </w:r>
          </w:p>
          <w:p w:rsidR="00AD708A" w:rsidRPr="00464664" w:rsidRDefault="00AD708A" w:rsidP="00760099">
            <w:pPr>
              <w:ind w:left="403"/>
              <w:rPr>
                <w:rFonts w:asciiTheme="minorHAnsi" w:hAnsiTheme="minorHAnsi" w:cstheme="minorHAnsi"/>
              </w:rPr>
            </w:pPr>
            <w:r w:rsidRPr="00464664">
              <w:rPr>
                <w:rFonts w:asciiTheme="minorHAnsi" w:eastAsia="Times New Roman" w:hAnsiTheme="minorHAnsi" w:cstheme="minorHAnsi"/>
                <w:b/>
              </w:rPr>
              <w:t xml:space="preserve">Izvješće o provedenom savjetovanju s javnošću </w:t>
            </w:r>
          </w:p>
          <w:p w:rsidR="00AD708A" w:rsidRPr="00464664" w:rsidRDefault="00AD708A" w:rsidP="00760099">
            <w:pPr>
              <w:ind w:left="2611"/>
              <w:rPr>
                <w:rFonts w:asciiTheme="minorHAnsi" w:hAnsiTheme="minorHAnsi" w:cstheme="minorHAnsi"/>
              </w:rPr>
            </w:pPr>
            <w:r w:rsidRPr="00464664">
              <w:rPr>
                <w:rFonts w:asciiTheme="minorHAnsi" w:eastAsia="Times New Roman" w:hAnsiTheme="minorHAnsi" w:cstheme="minorHAnsi"/>
              </w:rPr>
              <w:t xml:space="preserve"> </w:t>
            </w:r>
          </w:p>
        </w:tc>
      </w:tr>
      <w:tr w:rsidR="00AD708A" w:rsidRPr="00464664" w:rsidTr="00760099">
        <w:trPr>
          <w:trHeight w:val="756"/>
        </w:trPr>
        <w:tc>
          <w:tcPr>
            <w:tcW w:w="4809" w:type="dxa"/>
            <w:tcBorders>
              <w:top w:val="single" w:sz="4" w:space="0" w:color="000000"/>
              <w:left w:val="double" w:sz="15" w:space="0" w:color="000000"/>
              <w:bottom w:val="single" w:sz="4" w:space="0" w:color="000000"/>
              <w:right w:val="single" w:sz="4" w:space="0" w:color="000000"/>
            </w:tcBorders>
            <w:vAlign w:val="center"/>
          </w:tcPr>
          <w:p w:rsidR="00AD708A" w:rsidRPr="00464664" w:rsidRDefault="00AD708A" w:rsidP="00760099">
            <w:pPr>
              <w:ind w:left="7"/>
              <w:rPr>
                <w:rFonts w:asciiTheme="minorHAnsi" w:hAnsiTheme="minorHAnsi" w:cstheme="minorHAnsi"/>
              </w:rPr>
            </w:pPr>
            <w:r w:rsidRPr="00464664">
              <w:rPr>
                <w:rFonts w:asciiTheme="minorHAnsi" w:eastAsia="Times New Roman" w:hAnsiTheme="minorHAnsi" w:cstheme="minorHAnsi"/>
                <w:b/>
              </w:rPr>
              <w:t xml:space="preserve">Naziv nacrta odluke ili drugog općeg akta o kojem je savjetovanje provedeno </w:t>
            </w:r>
          </w:p>
        </w:tc>
        <w:tc>
          <w:tcPr>
            <w:tcW w:w="9508" w:type="dxa"/>
            <w:tcBorders>
              <w:top w:val="single" w:sz="4" w:space="0" w:color="000000"/>
              <w:left w:val="single" w:sz="4" w:space="0" w:color="000000"/>
              <w:bottom w:val="single" w:sz="4" w:space="0" w:color="000000"/>
              <w:right w:val="double" w:sz="15" w:space="0" w:color="000000"/>
            </w:tcBorders>
            <w:vAlign w:val="center"/>
          </w:tcPr>
          <w:p w:rsidR="00AD708A" w:rsidRPr="00464664" w:rsidRDefault="00AD708A" w:rsidP="00760099">
            <w:pPr>
              <w:shd w:val="clear" w:color="auto" w:fill="FFFFFF"/>
              <w:spacing w:line="360" w:lineRule="auto"/>
              <w:outlineLvl w:val="0"/>
              <w:rPr>
                <w:rFonts w:asciiTheme="minorHAnsi" w:hAnsiTheme="minorHAnsi" w:cstheme="minorHAnsi"/>
              </w:rPr>
            </w:pPr>
            <w:r w:rsidRPr="00464664">
              <w:rPr>
                <w:rFonts w:asciiTheme="minorHAnsi" w:hAnsiTheme="minorHAnsi" w:cstheme="minorHAnsi"/>
                <w:color w:val="161616"/>
                <w:shd w:val="clear" w:color="auto" w:fill="FFFFFF"/>
              </w:rPr>
              <w:t>Program državne potpore</w:t>
            </w:r>
            <w:r w:rsidRPr="00464664">
              <w:rPr>
                <w:rFonts w:asciiTheme="minorHAnsi" w:hAnsiTheme="minorHAnsi" w:cstheme="minorHAnsi"/>
              </w:rPr>
              <w:t xml:space="preserve"> male vrijednosti za sufinanciranje proizvodnje i objave programskih sadržaja u elektroničkim publikacijama za razdoblje 2024. - 2026.</w:t>
            </w:r>
            <w:r w:rsidRPr="00464664">
              <w:rPr>
                <w:rFonts w:asciiTheme="minorHAnsi" w:hAnsiTheme="minorHAnsi" w:cstheme="minorHAnsi"/>
                <w:color w:val="161616"/>
                <w:shd w:val="clear" w:color="auto" w:fill="FFFFFF"/>
              </w:rPr>
              <w:t>.</w:t>
            </w:r>
          </w:p>
        </w:tc>
      </w:tr>
      <w:tr w:rsidR="00AD708A" w:rsidRPr="00464664" w:rsidTr="00760099">
        <w:trPr>
          <w:trHeight w:val="749"/>
        </w:trPr>
        <w:tc>
          <w:tcPr>
            <w:tcW w:w="4809" w:type="dxa"/>
            <w:tcBorders>
              <w:top w:val="single" w:sz="4" w:space="0" w:color="000000"/>
              <w:left w:val="double" w:sz="15" w:space="0" w:color="000000"/>
              <w:bottom w:val="single" w:sz="4" w:space="0" w:color="000000"/>
              <w:right w:val="single" w:sz="4" w:space="0" w:color="000000"/>
            </w:tcBorders>
          </w:tcPr>
          <w:p w:rsidR="00AD708A" w:rsidRPr="00464664" w:rsidRDefault="00AD708A" w:rsidP="00760099">
            <w:pPr>
              <w:ind w:left="7"/>
              <w:rPr>
                <w:rFonts w:asciiTheme="minorHAnsi" w:hAnsiTheme="minorHAnsi" w:cstheme="minorHAnsi"/>
              </w:rPr>
            </w:pPr>
            <w:r w:rsidRPr="00464664">
              <w:rPr>
                <w:rFonts w:asciiTheme="minorHAnsi" w:eastAsia="Times New Roman" w:hAnsiTheme="minorHAnsi" w:cstheme="minorHAnsi"/>
                <w:b/>
              </w:rPr>
              <w:t xml:space="preserve">Nositelj izrade nacrta akta (gradsko upravno tijelo koje je provelo savjetovanje)  </w:t>
            </w:r>
          </w:p>
        </w:tc>
        <w:tc>
          <w:tcPr>
            <w:tcW w:w="9508" w:type="dxa"/>
            <w:tcBorders>
              <w:top w:val="single" w:sz="4" w:space="0" w:color="000000"/>
              <w:left w:val="single" w:sz="4" w:space="0" w:color="000000"/>
              <w:bottom w:val="single" w:sz="4" w:space="0" w:color="000000"/>
              <w:right w:val="double" w:sz="15" w:space="0" w:color="000000"/>
            </w:tcBorders>
            <w:vAlign w:val="center"/>
          </w:tcPr>
          <w:p w:rsidR="00AD708A" w:rsidRPr="00464664" w:rsidRDefault="00AD708A" w:rsidP="00760099">
            <w:pPr>
              <w:rPr>
                <w:rFonts w:asciiTheme="minorHAnsi" w:hAnsiTheme="minorHAnsi" w:cstheme="minorHAnsi"/>
              </w:rPr>
            </w:pPr>
            <w:r w:rsidRPr="00464664">
              <w:rPr>
                <w:rFonts w:asciiTheme="minorHAnsi" w:eastAsia="Times New Roman" w:hAnsiTheme="minorHAnsi" w:cstheme="minorHAnsi"/>
              </w:rPr>
              <w:t>Gradski ured za kulturu i civilno društvo</w:t>
            </w:r>
          </w:p>
        </w:tc>
      </w:tr>
      <w:tr w:rsidR="00AD708A" w:rsidRPr="00464664" w:rsidTr="00760099">
        <w:trPr>
          <w:trHeight w:val="686"/>
        </w:trPr>
        <w:tc>
          <w:tcPr>
            <w:tcW w:w="4809" w:type="dxa"/>
            <w:tcBorders>
              <w:top w:val="single" w:sz="4" w:space="0" w:color="000000"/>
              <w:left w:val="double" w:sz="15" w:space="0" w:color="000000"/>
              <w:bottom w:val="single" w:sz="4" w:space="0" w:color="000000"/>
              <w:right w:val="single" w:sz="4" w:space="0" w:color="000000"/>
            </w:tcBorders>
            <w:vAlign w:val="center"/>
          </w:tcPr>
          <w:p w:rsidR="00AD708A" w:rsidRPr="00464664" w:rsidRDefault="00AD708A" w:rsidP="00760099">
            <w:pPr>
              <w:ind w:left="7"/>
              <w:rPr>
                <w:rFonts w:asciiTheme="minorHAnsi" w:hAnsiTheme="minorHAnsi" w:cstheme="minorHAnsi"/>
              </w:rPr>
            </w:pPr>
            <w:r w:rsidRPr="00464664">
              <w:rPr>
                <w:rFonts w:asciiTheme="minorHAnsi" w:eastAsia="Times New Roman" w:hAnsiTheme="minorHAnsi" w:cstheme="minorHAnsi"/>
                <w:b/>
              </w:rPr>
              <w:t xml:space="preserve">Vrijeme trajanja savjetovanja   </w:t>
            </w:r>
          </w:p>
        </w:tc>
        <w:tc>
          <w:tcPr>
            <w:tcW w:w="9508" w:type="dxa"/>
            <w:tcBorders>
              <w:top w:val="single" w:sz="4" w:space="0" w:color="000000"/>
              <w:left w:val="single" w:sz="4" w:space="0" w:color="000000"/>
              <w:bottom w:val="single" w:sz="4" w:space="0" w:color="000000"/>
              <w:right w:val="double" w:sz="15" w:space="0" w:color="000000"/>
            </w:tcBorders>
            <w:vAlign w:val="center"/>
          </w:tcPr>
          <w:p w:rsidR="00AD708A" w:rsidRPr="00464664" w:rsidRDefault="00AD708A" w:rsidP="00760099">
            <w:pPr>
              <w:rPr>
                <w:rFonts w:asciiTheme="minorHAnsi" w:hAnsiTheme="minorHAnsi" w:cstheme="minorHAnsi"/>
              </w:rPr>
            </w:pPr>
            <w:r w:rsidRPr="00464664">
              <w:rPr>
                <w:rFonts w:asciiTheme="minorHAnsi" w:hAnsiTheme="minorHAnsi" w:cstheme="minorHAnsi"/>
              </w:rPr>
              <w:t>24.5.2024. –24.6.2024.</w:t>
            </w:r>
          </w:p>
        </w:tc>
      </w:tr>
      <w:tr w:rsidR="00AD708A" w:rsidRPr="00464664" w:rsidTr="00760099">
        <w:trPr>
          <w:trHeight w:val="665"/>
        </w:trPr>
        <w:tc>
          <w:tcPr>
            <w:tcW w:w="4809" w:type="dxa"/>
            <w:tcBorders>
              <w:top w:val="single" w:sz="4" w:space="0" w:color="000000"/>
              <w:left w:val="double" w:sz="15" w:space="0" w:color="000000"/>
              <w:bottom w:val="double" w:sz="15" w:space="0" w:color="000000"/>
              <w:right w:val="single" w:sz="4" w:space="0" w:color="000000"/>
            </w:tcBorders>
            <w:vAlign w:val="center"/>
          </w:tcPr>
          <w:p w:rsidR="00AD708A" w:rsidRPr="00464664" w:rsidRDefault="00AD708A" w:rsidP="00760099">
            <w:pPr>
              <w:ind w:left="7"/>
              <w:rPr>
                <w:rFonts w:asciiTheme="minorHAnsi" w:hAnsiTheme="minorHAnsi" w:cstheme="minorHAnsi"/>
              </w:rPr>
            </w:pPr>
            <w:r w:rsidRPr="00464664">
              <w:rPr>
                <w:rFonts w:asciiTheme="minorHAnsi" w:eastAsia="Times New Roman" w:hAnsiTheme="minorHAnsi" w:cstheme="minorHAnsi"/>
                <w:b/>
              </w:rPr>
              <w:t xml:space="preserve">Metoda savjetovanja  </w:t>
            </w:r>
          </w:p>
        </w:tc>
        <w:tc>
          <w:tcPr>
            <w:tcW w:w="9508" w:type="dxa"/>
            <w:tcBorders>
              <w:top w:val="single" w:sz="4" w:space="0" w:color="000000"/>
              <w:left w:val="single" w:sz="4" w:space="0" w:color="000000"/>
              <w:bottom w:val="double" w:sz="15" w:space="0" w:color="000000"/>
              <w:right w:val="double" w:sz="15" w:space="0" w:color="000000"/>
            </w:tcBorders>
            <w:vAlign w:val="center"/>
          </w:tcPr>
          <w:p w:rsidR="00AD708A" w:rsidRPr="00464664" w:rsidRDefault="00AD708A" w:rsidP="00760099">
            <w:pPr>
              <w:rPr>
                <w:rFonts w:asciiTheme="minorHAnsi" w:hAnsiTheme="minorHAnsi" w:cstheme="minorHAnsi"/>
                <w:b/>
              </w:rPr>
            </w:pPr>
            <w:r w:rsidRPr="00464664">
              <w:rPr>
                <w:rFonts w:asciiTheme="minorHAnsi" w:eastAsia="Times New Roman" w:hAnsiTheme="minorHAnsi" w:cstheme="minorHAnsi"/>
                <w:b/>
              </w:rPr>
              <w:t xml:space="preserve">Internetsko savjetovanje  </w:t>
            </w:r>
          </w:p>
        </w:tc>
      </w:tr>
    </w:tbl>
    <w:p w:rsidR="00AD708A" w:rsidRPr="00464664" w:rsidRDefault="00AD708A" w:rsidP="00AD708A">
      <w:pPr>
        <w:rPr>
          <w:rFonts w:asciiTheme="minorHAnsi" w:hAnsiTheme="minorHAnsi" w:cstheme="minorHAnsi"/>
        </w:rPr>
      </w:pPr>
    </w:p>
    <w:p w:rsidR="00AD708A" w:rsidRPr="00464664" w:rsidRDefault="00AD708A" w:rsidP="00AD708A">
      <w:pPr>
        <w:rPr>
          <w:rFonts w:asciiTheme="minorHAnsi" w:hAnsiTheme="minorHAnsi" w:cstheme="minorHAnsi"/>
        </w:rPr>
      </w:pPr>
    </w:p>
    <w:p w:rsidR="00AD708A" w:rsidRPr="00464664" w:rsidRDefault="00AD708A" w:rsidP="00AD708A">
      <w:pPr>
        <w:rPr>
          <w:rFonts w:asciiTheme="minorHAnsi" w:hAnsiTheme="minorHAnsi" w:cstheme="minorHAnsi"/>
        </w:rPr>
      </w:pPr>
    </w:p>
    <w:p w:rsidR="00AD708A" w:rsidRPr="00464664" w:rsidRDefault="00AD708A" w:rsidP="00AD708A">
      <w:pPr>
        <w:rPr>
          <w:rFonts w:asciiTheme="minorHAnsi" w:hAnsiTheme="minorHAnsi" w:cstheme="minorHAnsi"/>
        </w:rPr>
      </w:pPr>
    </w:p>
    <w:p w:rsidR="00AD708A" w:rsidRPr="00464664" w:rsidRDefault="00AD708A" w:rsidP="00AD708A">
      <w:pPr>
        <w:rPr>
          <w:rFonts w:asciiTheme="minorHAnsi" w:hAnsiTheme="minorHAnsi" w:cstheme="minorHAnsi"/>
        </w:rPr>
      </w:pPr>
    </w:p>
    <w:p w:rsidR="00AD708A" w:rsidRPr="00464664" w:rsidRDefault="00AD708A" w:rsidP="00AD708A">
      <w:pPr>
        <w:rPr>
          <w:rFonts w:asciiTheme="minorHAnsi" w:hAnsiTheme="minorHAnsi" w:cstheme="minorHAnsi"/>
        </w:rPr>
      </w:pPr>
    </w:p>
    <w:p w:rsidR="00AD708A" w:rsidRPr="00464664" w:rsidRDefault="00AD708A" w:rsidP="00AD708A">
      <w:pPr>
        <w:rPr>
          <w:rFonts w:asciiTheme="minorHAnsi" w:hAnsiTheme="minorHAnsi" w:cstheme="minorHAnsi"/>
        </w:rPr>
      </w:pPr>
    </w:p>
    <w:p w:rsidR="00AD708A" w:rsidRPr="00464664" w:rsidRDefault="00AD708A" w:rsidP="00AD708A">
      <w:pPr>
        <w:rPr>
          <w:rFonts w:asciiTheme="minorHAnsi" w:hAnsiTheme="minorHAnsi" w:cstheme="minorHAnsi"/>
        </w:rPr>
      </w:pPr>
    </w:p>
    <w:p w:rsidR="00AD708A" w:rsidRPr="00464664" w:rsidRDefault="00AD708A" w:rsidP="00AD708A">
      <w:pPr>
        <w:rPr>
          <w:rFonts w:asciiTheme="minorHAnsi" w:hAnsiTheme="minorHAnsi" w:cstheme="minorHAnsi"/>
        </w:rPr>
      </w:pPr>
    </w:p>
    <w:p w:rsidR="00AD708A" w:rsidRPr="00464664" w:rsidRDefault="00AD708A" w:rsidP="00AD708A">
      <w:pPr>
        <w:rPr>
          <w:rFonts w:asciiTheme="minorHAnsi" w:hAnsiTheme="minorHAnsi" w:cstheme="minorHAnsi"/>
        </w:rPr>
      </w:pPr>
    </w:p>
    <w:p w:rsidR="00AD708A" w:rsidRPr="00464664" w:rsidRDefault="00AD708A" w:rsidP="00AD708A">
      <w:pPr>
        <w:rPr>
          <w:rFonts w:asciiTheme="minorHAnsi" w:hAnsiTheme="minorHAnsi" w:cstheme="minorHAnsi"/>
        </w:rPr>
      </w:pPr>
    </w:p>
    <w:tbl>
      <w:tblPr>
        <w:tblStyle w:val="Reetkatablice"/>
        <w:tblW w:w="0" w:type="auto"/>
        <w:jc w:val="center"/>
        <w:tblLook w:val="04A0" w:firstRow="1" w:lastRow="0" w:firstColumn="1" w:lastColumn="0" w:noHBand="0" w:noVBand="1"/>
      </w:tblPr>
      <w:tblGrid>
        <w:gridCol w:w="576"/>
        <w:gridCol w:w="1951"/>
        <w:gridCol w:w="7980"/>
        <w:gridCol w:w="3487"/>
      </w:tblGrid>
      <w:tr w:rsidR="00AD708A" w:rsidRPr="00464664" w:rsidTr="00760099">
        <w:trPr>
          <w:jc w:val="center"/>
        </w:trPr>
        <w:tc>
          <w:tcPr>
            <w:tcW w:w="704" w:type="dxa"/>
            <w:shd w:val="clear" w:color="auto" w:fill="D9D9D9" w:themeFill="background1" w:themeFillShade="D9"/>
          </w:tcPr>
          <w:p w:rsidR="00AD708A" w:rsidRPr="00464664" w:rsidRDefault="00AD708A" w:rsidP="00760099">
            <w:pPr>
              <w:jc w:val="center"/>
              <w:rPr>
                <w:rFonts w:asciiTheme="minorHAnsi" w:hAnsiTheme="minorHAnsi" w:cstheme="minorHAnsi"/>
                <w:b/>
              </w:rPr>
            </w:pPr>
            <w:r w:rsidRPr="00464664">
              <w:rPr>
                <w:rFonts w:asciiTheme="minorHAnsi" w:hAnsiTheme="minorHAnsi" w:cstheme="minorHAnsi"/>
                <w:b/>
              </w:rPr>
              <w:lastRenderedPageBreak/>
              <w:t>Br.</w:t>
            </w:r>
          </w:p>
        </w:tc>
        <w:tc>
          <w:tcPr>
            <w:tcW w:w="2552" w:type="dxa"/>
            <w:tcBorders>
              <w:bottom w:val="single" w:sz="4" w:space="0" w:color="auto"/>
            </w:tcBorders>
            <w:shd w:val="clear" w:color="auto" w:fill="D9D9D9" w:themeFill="background1" w:themeFillShade="D9"/>
          </w:tcPr>
          <w:p w:rsidR="00AD708A" w:rsidRPr="00464664" w:rsidRDefault="00AD708A" w:rsidP="00760099">
            <w:pPr>
              <w:jc w:val="center"/>
              <w:rPr>
                <w:rFonts w:asciiTheme="minorHAnsi" w:hAnsiTheme="minorHAnsi" w:cstheme="minorHAnsi"/>
                <w:b/>
              </w:rPr>
            </w:pPr>
            <w:r w:rsidRPr="00464664">
              <w:rPr>
                <w:rFonts w:asciiTheme="minorHAnsi" w:hAnsiTheme="minorHAnsi" w:cstheme="minorHAnsi"/>
                <w:b/>
              </w:rPr>
              <w:t>Predstavnici javnosti (pojedinac, organizacija, institucija)</w:t>
            </w:r>
          </w:p>
          <w:p w:rsidR="00AD708A" w:rsidRPr="00464664" w:rsidRDefault="00AD708A" w:rsidP="00760099">
            <w:pPr>
              <w:jc w:val="center"/>
              <w:rPr>
                <w:rFonts w:asciiTheme="minorHAnsi" w:hAnsiTheme="minorHAnsi" w:cstheme="minorHAnsi"/>
                <w:b/>
              </w:rPr>
            </w:pPr>
            <w:r w:rsidRPr="00464664">
              <w:rPr>
                <w:rFonts w:asciiTheme="minorHAnsi" w:hAnsiTheme="minorHAnsi" w:cstheme="minorHAnsi"/>
                <w:b/>
              </w:rPr>
              <w:t>KLASA zaprimljenog akta</w:t>
            </w:r>
          </w:p>
        </w:tc>
        <w:tc>
          <w:tcPr>
            <w:tcW w:w="5103" w:type="dxa"/>
            <w:tcBorders>
              <w:bottom w:val="single" w:sz="4" w:space="0" w:color="auto"/>
            </w:tcBorders>
            <w:shd w:val="clear" w:color="auto" w:fill="D9D9D9" w:themeFill="background1" w:themeFillShade="D9"/>
            <w:vAlign w:val="center"/>
          </w:tcPr>
          <w:p w:rsidR="00AD708A" w:rsidRPr="00464664" w:rsidRDefault="00AD708A" w:rsidP="00760099">
            <w:pPr>
              <w:jc w:val="center"/>
              <w:rPr>
                <w:rFonts w:asciiTheme="minorHAnsi" w:hAnsiTheme="minorHAnsi" w:cstheme="minorHAnsi"/>
                <w:b/>
              </w:rPr>
            </w:pPr>
            <w:r w:rsidRPr="00464664">
              <w:rPr>
                <w:rFonts w:asciiTheme="minorHAnsi" w:hAnsiTheme="minorHAnsi" w:cstheme="minorHAnsi"/>
                <w:b/>
              </w:rPr>
              <w:t>Tekst primjedbe / prijedloga</w:t>
            </w:r>
          </w:p>
        </w:tc>
        <w:tc>
          <w:tcPr>
            <w:tcW w:w="5635" w:type="dxa"/>
            <w:tcBorders>
              <w:bottom w:val="single" w:sz="4" w:space="0" w:color="auto"/>
            </w:tcBorders>
            <w:shd w:val="clear" w:color="auto" w:fill="D9D9D9" w:themeFill="background1" w:themeFillShade="D9"/>
            <w:vAlign w:val="center"/>
          </w:tcPr>
          <w:p w:rsidR="00AD708A" w:rsidRPr="00464664" w:rsidRDefault="00AD708A" w:rsidP="00760099">
            <w:pPr>
              <w:jc w:val="center"/>
              <w:rPr>
                <w:rFonts w:asciiTheme="minorHAnsi" w:hAnsiTheme="minorHAnsi" w:cstheme="minorHAnsi"/>
                <w:b/>
              </w:rPr>
            </w:pPr>
            <w:r w:rsidRPr="00464664">
              <w:rPr>
                <w:rFonts w:asciiTheme="minorHAnsi" w:hAnsiTheme="minorHAnsi" w:cstheme="minorHAnsi"/>
                <w:b/>
              </w:rPr>
              <w:t>Očitovanje  o primjedbi / prijedlogu  s obrazloženjem</w:t>
            </w:r>
          </w:p>
        </w:tc>
      </w:tr>
      <w:tr w:rsidR="00AD708A" w:rsidRPr="00464664" w:rsidTr="00760099">
        <w:trPr>
          <w:trHeight w:val="3109"/>
          <w:jc w:val="center"/>
        </w:trPr>
        <w:tc>
          <w:tcPr>
            <w:tcW w:w="704" w:type="dxa"/>
            <w:tcBorders>
              <w:right w:val="single" w:sz="4" w:space="0" w:color="auto"/>
            </w:tcBorders>
          </w:tcPr>
          <w:p w:rsidR="00AD708A" w:rsidRPr="00464664" w:rsidRDefault="00AD708A" w:rsidP="00760099">
            <w:pPr>
              <w:rPr>
                <w:rFonts w:asciiTheme="minorHAnsi" w:hAnsiTheme="minorHAnsi" w:cstheme="minorHAnsi"/>
              </w:rPr>
            </w:pPr>
          </w:p>
          <w:p w:rsidR="00AD708A" w:rsidRPr="00464664" w:rsidRDefault="00AD708A" w:rsidP="00760099">
            <w:pPr>
              <w:rPr>
                <w:rFonts w:asciiTheme="minorHAnsi" w:hAnsiTheme="minorHAnsi" w:cstheme="minorHAnsi"/>
              </w:rPr>
            </w:pPr>
            <w:r w:rsidRPr="00464664">
              <w:rPr>
                <w:rFonts w:asciiTheme="minorHAnsi" w:hAnsiTheme="minorHAnsi" w:cstheme="minorHAnsi"/>
              </w:rPr>
              <w:t xml:space="preserve">1. </w:t>
            </w:r>
          </w:p>
        </w:tc>
        <w:tc>
          <w:tcPr>
            <w:tcW w:w="2552" w:type="dxa"/>
            <w:tcBorders>
              <w:top w:val="single" w:sz="4" w:space="0" w:color="auto"/>
              <w:left w:val="single" w:sz="4" w:space="0" w:color="auto"/>
              <w:bottom w:val="single" w:sz="4" w:space="0" w:color="auto"/>
              <w:right w:val="single" w:sz="4" w:space="0" w:color="auto"/>
            </w:tcBorders>
            <w:vAlign w:val="center"/>
          </w:tcPr>
          <w:p w:rsidR="00AD708A" w:rsidRPr="00464664" w:rsidRDefault="00AD708A" w:rsidP="00760099">
            <w:pPr>
              <w:rPr>
                <w:rFonts w:asciiTheme="minorHAnsi" w:hAnsiTheme="minorHAnsi" w:cstheme="minorHAnsi"/>
                <w:b/>
              </w:rPr>
            </w:pPr>
            <w:r w:rsidRPr="00464664">
              <w:rPr>
                <w:rFonts w:asciiTheme="minorHAnsi" w:hAnsiTheme="minorHAnsi" w:cstheme="minorHAnsi"/>
              </w:rPr>
              <w:t>UDRUGA ZA NEZAVISNU MEDIJSKU KULTURU (nije ovlaštena za predstavljanje zainteresirane javnosti već je zainteresirana pravna osoba)</w:t>
            </w: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b/>
              </w:rPr>
            </w:pPr>
          </w:p>
          <w:p w:rsidR="00AD708A" w:rsidRPr="00464664" w:rsidRDefault="00AD708A" w:rsidP="00760099">
            <w:pPr>
              <w:rPr>
                <w:rFonts w:asciiTheme="minorHAnsi" w:hAnsiTheme="minorHAnsi" w:cstheme="minorHAnsi"/>
              </w:rPr>
            </w:pPr>
          </w:p>
          <w:p w:rsidR="00AD708A" w:rsidRPr="00464664" w:rsidRDefault="00AD708A" w:rsidP="00760099">
            <w:pPr>
              <w:rPr>
                <w:rFonts w:asciiTheme="minorHAnsi" w:hAnsiTheme="minorHAnsi" w:cstheme="minorHAnsi"/>
                <w:b/>
              </w:rPr>
            </w:pPr>
          </w:p>
        </w:tc>
        <w:tc>
          <w:tcPr>
            <w:tcW w:w="5103" w:type="dxa"/>
            <w:tcBorders>
              <w:left w:val="single" w:sz="4" w:space="0" w:color="auto"/>
            </w:tcBorders>
            <w:vAlign w:val="center"/>
          </w:tcPr>
          <w:p w:rsidR="00AD708A" w:rsidRPr="00464664" w:rsidRDefault="00AD708A" w:rsidP="00760099">
            <w:pPr>
              <w:rPr>
                <w:rFonts w:asciiTheme="minorHAnsi" w:hAnsiTheme="minorHAnsi" w:cstheme="minorHAnsi"/>
              </w:rPr>
            </w:pPr>
          </w:p>
          <w:p w:rsidR="00AD708A" w:rsidRPr="00464664" w:rsidRDefault="00AD708A" w:rsidP="00760099">
            <w:pPr>
              <w:jc w:val="both"/>
              <w:rPr>
                <w:rFonts w:asciiTheme="minorHAnsi" w:hAnsiTheme="minorHAnsi" w:cstheme="minorHAnsi"/>
                <w:b/>
                <w:u w:val="single"/>
              </w:rPr>
            </w:pPr>
            <w:r w:rsidRPr="00464664">
              <w:rPr>
                <w:rFonts w:asciiTheme="minorHAnsi" w:hAnsiTheme="minorHAnsi" w:cstheme="minorHAnsi"/>
                <w:b/>
                <w:u w:val="single"/>
              </w:rPr>
              <w:t>Načelne primjedbe i prijedlozi</w:t>
            </w:r>
          </w:p>
          <w:p w:rsidR="00AD708A" w:rsidRPr="00464664" w:rsidRDefault="00AD708A" w:rsidP="00760099">
            <w:pPr>
              <w:jc w:val="both"/>
              <w:rPr>
                <w:rFonts w:asciiTheme="minorHAnsi" w:hAnsiTheme="minorHAnsi" w:cstheme="minorHAnsi"/>
                <w:b/>
                <w:u w:val="single"/>
              </w:rPr>
            </w:pPr>
          </w:p>
          <w:p w:rsidR="00AD708A" w:rsidRPr="00464664" w:rsidRDefault="00AD708A" w:rsidP="00760099">
            <w:pPr>
              <w:rPr>
                <w:rFonts w:asciiTheme="minorHAnsi" w:eastAsia="Times New Roman" w:hAnsiTheme="minorHAnsi" w:cstheme="minorHAnsi"/>
                <w:color w:val="auto"/>
              </w:rPr>
            </w:pPr>
          </w:p>
          <w:p w:rsidR="00AD708A" w:rsidRPr="00464664" w:rsidRDefault="00AD708A" w:rsidP="00760099">
            <w:pPr>
              <w:spacing w:line="276" w:lineRule="auto"/>
              <w:jc w:val="both"/>
              <w:rPr>
                <w:rFonts w:asciiTheme="minorHAnsi" w:hAnsiTheme="minorHAnsi" w:cstheme="minorHAnsi"/>
              </w:rPr>
            </w:pPr>
            <w:r w:rsidRPr="00464664">
              <w:rPr>
                <w:rFonts w:asciiTheme="minorHAnsi" w:hAnsiTheme="minorHAnsi" w:cstheme="minorHAnsi"/>
                <w:b/>
              </w:rPr>
              <w:t>Općenita primjedba 1:</w:t>
            </w:r>
            <w:r w:rsidRPr="00464664">
              <w:rPr>
                <w:rFonts w:asciiTheme="minorHAnsi" w:hAnsiTheme="minorHAnsi" w:cstheme="minorHAnsi"/>
              </w:rPr>
              <w:t xml:space="preserve"> U ime proklamiranog </w:t>
            </w:r>
            <w:r w:rsidRPr="00464664">
              <w:rPr>
                <w:rFonts w:asciiTheme="minorHAnsi" w:hAnsiTheme="minorHAnsi" w:cstheme="minorHAnsi"/>
                <w:bCs/>
              </w:rPr>
              <w:t>„</w:t>
            </w:r>
            <w:r w:rsidRPr="00464664">
              <w:rPr>
                <w:rFonts w:asciiTheme="minorHAnsi" w:hAnsiTheme="minorHAnsi" w:cstheme="minorHAnsi"/>
              </w:rPr>
              <w:t xml:space="preserve">jačanja profesionalnih kapaciteta novinara, poboljšavanja uvjeta rada i razvoja organizacijskih kapaciteta u lokanim medijima“, Javni poziv za </w:t>
            </w:r>
            <w:r w:rsidRPr="00464664">
              <w:rPr>
                <w:rFonts w:asciiTheme="minorHAnsi" w:hAnsiTheme="minorHAnsi" w:cstheme="minorHAnsi"/>
                <w:i/>
              </w:rPr>
              <w:t>tekuću</w:t>
            </w:r>
            <w:r w:rsidRPr="00464664">
              <w:rPr>
                <w:rFonts w:asciiTheme="minorHAnsi" w:hAnsiTheme="minorHAnsi" w:cstheme="minorHAnsi"/>
              </w:rPr>
              <w:t xml:space="preserve"> godinu bi trebao biti raspisan u jesen </w:t>
            </w:r>
            <w:r w:rsidRPr="00464664">
              <w:rPr>
                <w:rFonts w:asciiTheme="minorHAnsi" w:hAnsiTheme="minorHAnsi" w:cstheme="minorHAnsi"/>
                <w:i/>
              </w:rPr>
              <w:t>prethodne</w:t>
            </w:r>
            <w:r w:rsidRPr="00464664">
              <w:rPr>
                <w:rFonts w:asciiTheme="minorHAnsi" w:hAnsiTheme="minorHAnsi" w:cstheme="minorHAnsi"/>
              </w:rPr>
              <w:t xml:space="preserve"> godine, kako bi bio proveden do kraja prethodne godine, i kako bi ugovori bili potpisani početkom godine za koju je natječaj raspisan. Dodjela sredstava u mjesecu studenom godine za koju je javni poziv raspisan, s obavezom završetka predviđenih medijskih aktivnosti do kraja iste godine, izrazito je loše rješenje. UNMK ga smatra iz više razloga neprihvatljivim, i zato prošle godine nismo niti potpisali ugovor s Gradom, premda nam je bilo odobreno 8000 eura. Razloge smo detaljno elaborirali u dopisu Uredu gradonačelnika od 6. 12. 2023.</w:t>
            </w:r>
          </w:p>
          <w:p w:rsidR="00AD708A" w:rsidRPr="00464664" w:rsidRDefault="00AD708A" w:rsidP="00760099">
            <w:pPr>
              <w:rPr>
                <w:rFonts w:asciiTheme="minorHAnsi" w:hAnsiTheme="minorHAnsi" w:cstheme="minorHAnsi"/>
              </w:rPr>
            </w:pPr>
          </w:p>
          <w:p w:rsidR="00AD708A" w:rsidRPr="00464664" w:rsidRDefault="00AD708A" w:rsidP="00760099">
            <w:pPr>
              <w:spacing w:line="276" w:lineRule="auto"/>
              <w:jc w:val="both"/>
              <w:rPr>
                <w:rFonts w:asciiTheme="minorHAnsi" w:hAnsiTheme="minorHAnsi" w:cstheme="minorHAnsi"/>
              </w:rPr>
            </w:pPr>
            <w:r w:rsidRPr="00464664">
              <w:rPr>
                <w:rFonts w:asciiTheme="minorHAnsi" w:hAnsiTheme="minorHAnsi" w:cstheme="minorHAnsi"/>
                <w:b/>
              </w:rPr>
              <w:t xml:space="preserve">Općenita primjedba 2: </w:t>
            </w:r>
            <w:r w:rsidRPr="00464664">
              <w:rPr>
                <w:rFonts w:asciiTheme="minorHAnsi" w:hAnsiTheme="minorHAnsi" w:cstheme="minorHAnsi"/>
              </w:rPr>
              <w:t xml:space="preserve">Predloženi </w:t>
            </w:r>
            <w:r w:rsidRPr="00464664">
              <w:rPr>
                <w:rFonts w:asciiTheme="minorHAnsi" w:hAnsiTheme="minorHAnsi" w:cstheme="minorHAnsi"/>
                <w:bCs/>
              </w:rPr>
              <w:t xml:space="preserve">program potpore je </w:t>
            </w:r>
            <w:proofErr w:type="spellStart"/>
            <w:r w:rsidRPr="00464664">
              <w:rPr>
                <w:rFonts w:asciiTheme="minorHAnsi" w:hAnsiTheme="minorHAnsi" w:cstheme="minorHAnsi"/>
                <w:bCs/>
              </w:rPr>
              <w:t>nomotehnički</w:t>
            </w:r>
            <w:proofErr w:type="spellEnd"/>
            <w:r w:rsidRPr="00464664">
              <w:rPr>
                <w:rFonts w:asciiTheme="minorHAnsi" w:hAnsiTheme="minorHAnsi" w:cstheme="minorHAnsi"/>
                <w:bCs/>
              </w:rPr>
              <w:t xml:space="preserve"> nedorađen. Predlažemo da se njegovi bitni dijelovi pomnije osmisle, i da se potom program napiše iznova u suradnji s dobrim pravnikom koji će ga </w:t>
            </w:r>
            <w:proofErr w:type="spellStart"/>
            <w:r w:rsidRPr="00464664">
              <w:rPr>
                <w:rFonts w:asciiTheme="minorHAnsi" w:hAnsiTheme="minorHAnsi" w:cstheme="minorHAnsi"/>
                <w:bCs/>
              </w:rPr>
              <w:t>nomotehnički</w:t>
            </w:r>
            <w:proofErr w:type="spellEnd"/>
            <w:r w:rsidRPr="00464664">
              <w:rPr>
                <w:rFonts w:asciiTheme="minorHAnsi" w:hAnsiTheme="minorHAnsi" w:cstheme="minorHAnsi"/>
                <w:bCs/>
              </w:rPr>
              <w:t xml:space="preserve"> primjereno uobličiti.</w:t>
            </w:r>
          </w:p>
          <w:p w:rsidR="00AD708A" w:rsidRPr="00464664" w:rsidRDefault="00AD708A" w:rsidP="00760099">
            <w:pPr>
              <w:pStyle w:val="Odlomakpopisa"/>
              <w:rPr>
                <w:rFonts w:asciiTheme="minorHAnsi" w:hAnsiTheme="minorHAnsi" w:cstheme="minorHAnsi"/>
              </w:rPr>
            </w:pPr>
          </w:p>
          <w:p w:rsidR="00AD708A" w:rsidRPr="00464664" w:rsidRDefault="00AD708A" w:rsidP="00760099">
            <w:pPr>
              <w:pStyle w:val="Odlomakpopisa"/>
              <w:spacing w:line="276" w:lineRule="auto"/>
              <w:jc w:val="both"/>
              <w:rPr>
                <w:rFonts w:asciiTheme="minorHAnsi" w:hAnsiTheme="minorHAnsi" w:cstheme="minorHAnsi"/>
              </w:rPr>
            </w:pPr>
          </w:p>
          <w:p w:rsidR="00AD708A" w:rsidRPr="00464664" w:rsidRDefault="00AD708A" w:rsidP="00760099">
            <w:pPr>
              <w:spacing w:line="276" w:lineRule="auto"/>
              <w:jc w:val="both"/>
              <w:rPr>
                <w:rFonts w:asciiTheme="minorHAnsi" w:hAnsiTheme="minorHAnsi" w:cstheme="minorHAnsi"/>
              </w:rPr>
            </w:pPr>
            <w:r w:rsidRPr="00464664">
              <w:rPr>
                <w:rFonts w:asciiTheme="minorHAnsi" w:hAnsiTheme="minorHAnsi" w:cstheme="minorHAnsi"/>
                <w:b/>
              </w:rPr>
              <w:t>Općenita primjedba 3:</w:t>
            </w:r>
            <w:r w:rsidRPr="00464664">
              <w:rPr>
                <w:rFonts w:asciiTheme="minorHAnsi" w:hAnsiTheme="minorHAnsi" w:cstheme="minorHAnsi"/>
              </w:rPr>
              <w:t xml:space="preserve"> Predloženi </w:t>
            </w:r>
            <w:r w:rsidRPr="00464664">
              <w:rPr>
                <w:rFonts w:asciiTheme="minorHAnsi" w:hAnsiTheme="minorHAnsi" w:cstheme="minorHAnsi"/>
                <w:bCs/>
              </w:rPr>
              <w:t xml:space="preserve">program potpore je i u jezičnom pogledu nedorađen, što kod potencijalnih prijavitelja i zainteresiranih građana izaziva nejasnoće. Predlažemo pregled lektora prije objavljivanja. </w:t>
            </w:r>
            <w:proofErr w:type="spellStart"/>
            <w:r w:rsidRPr="00464664">
              <w:rPr>
                <w:rFonts w:asciiTheme="minorHAnsi" w:hAnsiTheme="minorHAnsi" w:cstheme="minorHAnsi"/>
                <w:bCs/>
              </w:rPr>
              <w:t>Nomotehnička</w:t>
            </w:r>
            <w:proofErr w:type="spellEnd"/>
            <w:r w:rsidRPr="00464664">
              <w:rPr>
                <w:rFonts w:asciiTheme="minorHAnsi" w:hAnsiTheme="minorHAnsi" w:cstheme="minorHAnsi"/>
                <w:bCs/>
              </w:rPr>
              <w:t xml:space="preserve"> i jezična nedorađenost </w:t>
            </w:r>
            <w:r w:rsidRPr="00464664">
              <w:rPr>
                <w:rFonts w:asciiTheme="minorHAnsi" w:hAnsiTheme="minorHAnsi" w:cstheme="minorHAnsi"/>
                <w:bCs/>
              </w:rPr>
              <w:lastRenderedPageBreak/>
              <w:t xml:space="preserve">ostavljaju dojam pomanjkanja jasne ideje o tome što se ovim javnim programom žele postići, i na koji način. </w:t>
            </w:r>
          </w:p>
          <w:p w:rsidR="00AD708A" w:rsidRPr="00464664" w:rsidRDefault="00AD708A" w:rsidP="00760099">
            <w:pPr>
              <w:pStyle w:val="Odlomakpopisa"/>
              <w:spacing w:line="276" w:lineRule="auto"/>
              <w:jc w:val="both"/>
              <w:rPr>
                <w:rFonts w:asciiTheme="minorHAnsi" w:hAnsiTheme="minorHAnsi" w:cstheme="minorHAnsi"/>
              </w:rPr>
            </w:pPr>
          </w:p>
          <w:p w:rsidR="00AD708A" w:rsidRPr="00464664" w:rsidRDefault="00AD708A" w:rsidP="00760099">
            <w:pPr>
              <w:spacing w:line="276" w:lineRule="auto"/>
              <w:jc w:val="both"/>
              <w:rPr>
                <w:rFonts w:asciiTheme="minorHAnsi" w:hAnsiTheme="minorHAnsi" w:cstheme="minorHAnsi"/>
              </w:rPr>
            </w:pPr>
            <w:r w:rsidRPr="00464664">
              <w:rPr>
                <w:rFonts w:asciiTheme="minorHAnsi" w:hAnsiTheme="minorHAnsi" w:cstheme="minorHAnsi"/>
                <w:b/>
              </w:rPr>
              <w:t>Općenita primjedba 4:</w:t>
            </w:r>
            <w:r w:rsidRPr="00464664">
              <w:rPr>
                <w:rFonts w:asciiTheme="minorHAnsi" w:hAnsiTheme="minorHAnsi" w:cstheme="minorHAnsi"/>
              </w:rPr>
              <w:t xml:space="preserve"> Grad Zagreb trebao bi formirati radnu skupinu sastavljenu od znanstvenika različitih humanističkih i društvenih usmjerenja koji iz perspektive vlastitih struka, novinarstvo i medije uzimaju za predmet vlastitih analiza i proučavanja. U tu radnu skupinu trebalo bi uključiti i nekoliko istaknutih i uglednih novinara. Pretpostavljamo da bi takva radna skupina pridonijela promišljenijem i u stručnom smislu kompetentnijem tekstu Javnog poziva. </w:t>
            </w:r>
          </w:p>
          <w:p w:rsidR="00AD708A" w:rsidRPr="00464664" w:rsidRDefault="00AD708A" w:rsidP="00760099">
            <w:pPr>
              <w:pStyle w:val="Odlomakpopisa"/>
              <w:spacing w:line="276" w:lineRule="auto"/>
              <w:rPr>
                <w:rFonts w:asciiTheme="minorHAnsi" w:hAnsiTheme="minorHAnsi" w:cstheme="minorHAnsi"/>
                <w:b/>
              </w:rPr>
            </w:pPr>
          </w:p>
          <w:p w:rsidR="00AD708A" w:rsidRPr="00464664" w:rsidRDefault="00AD708A" w:rsidP="00760099">
            <w:pPr>
              <w:spacing w:line="276" w:lineRule="auto"/>
              <w:jc w:val="both"/>
              <w:rPr>
                <w:rFonts w:asciiTheme="minorHAnsi" w:hAnsiTheme="minorHAnsi" w:cstheme="minorHAnsi"/>
              </w:rPr>
            </w:pPr>
            <w:r w:rsidRPr="00464664">
              <w:rPr>
                <w:rFonts w:asciiTheme="minorHAnsi" w:hAnsiTheme="minorHAnsi" w:cstheme="minorHAnsi"/>
                <w:b/>
              </w:rPr>
              <w:t>Općenita primjedba 5:</w:t>
            </w:r>
            <w:r w:rsidRPr="00464664">
              <w:rPr>
                <w:rFonts w:asciiTheme="minorHAnsi" w:hAnsiTheme="minorHAnsi" w:cstheme="minorHAnsi"/>
              </w:rPr>
              <w:t xml:space="preserve"> Navedena bi radna skupina, između ostaloga, trebala konzultirati program bespovratnih potpora neprofitnim medijima Ministarstva kulture, koji je bio na snazi prije desetak godina. Kriteriji vrednovanja ponuda (i medija) u tom programu bili su znatno bliži logici novinarske profesije od ovdje predloženoga, tako da bi se iz njega moglo preuzeti poneka rješenja i prilagoditi ih zagrebačkim potrebama. Trebala bi pobliže konzultirati i modele </w:t>
            </w:r>
          </w:p>
          <w:p w:rsidR="00AD708A" w:rsidRPr="00464664" w:rsidRDefault="00AD708A" w:rsidP="00760099">
            <w:pPr>
              <w:spacing w:line="276" w:lineRule="auto"/>
              <w:jc w:val="both"/>
              <w:rPr>
                <w:rFonts w:asciiTheme="minorHAnsi" w:hAnsiTheme="minorHAnsi" w:cstheme="minorHAnsi"/>
              </w:rPr>
            </w:pPr>
            <w:r w:rsidRPr="00464664">
              <w:rPr>
                <w:rFonts w:asciiTheme="minorHAnsi" w:hAnsiTheme="minorHAnsi" w:cstheme="minorHAnsi"/>
              </w:rPr>
              <w:t>(</w:t>
            </w:r>
            <w:hyperlink r:id="rId5" w:history="1">
              <w:r w:rsidRPr="00464664">
                <w:rPr>
                  <w:rStyle w:val="Hiperveza"/>
                  <w:rFonts w:asciiTheme="minorHAnsi" w:hAnsiTheme="minorHAnsi" w:cstheme="minorHAnsi"/>
                </w:rPr>
                <w:t>https://www.hnd.hr/uploads/files/Modeli%20financiranja%20lokalnih%20medija.pdf</w:t>
              </w:r>
            </w:hyperlink>
            <w:r w:rsidRPr="00464664">
              <w:rPr>
                <w:rFonts w:asciiTheme="minorHAnsi" w:hAnsiTheme="minorHAnsi" w:cstheme="minorHAnsi"/>
              </w:rPr>
              <w:t>)</w:t>
            </w:r>
          </w:p>
          <w:p w:rsidR="00AD708A" w:rsidRPr="00464664" w:rsidRDefault="00AD708A" w:rsidP="00760099">
            <w:pPr>
              <w:spacing w:line="276" w:lineRule="auto"/>
              <w:jc w:val="both"/>
              <w:rPr>
                <w:rFonts w:asciiTheme="minorHAnsi" w:hAnsiTheme="minorHAnsi" w:cstheme="minorHAnsi"/>
              </w:rPr>
            </w:pPr>
            <w:r w:rsidRPr="00464664">
              <w:rPr>
                <w:rFonts w:asciiTheme="minorHAnsi" w:hAnsiTheme="minorHAnsi" w:cstheme="minorHAnsi"/>
              </w:rPr>
              <w:t>i preporuke (</w:t>
            </w:r>
            <w:hyperlink r:id="rId6" w:history="1">
              <w:r w:rsidRPr="00464664">
                <w:rPr>
                  <w:rStyle w:val="Hiperveza"/>
                  <w:rFonts w:asciiTheme="minorHAnsi" w:hAnsiTheme="minorHAnsi" w:cstheme="minorHAnsi"/>
                </w:rPr>
                <w:t>https://www.hnd.hr/uploads/files/Preporuke.pdf</w:t>
              </w:r>
            </w:hyperlink>
            <w:r w:rsidRPr="00464664">
              <w:rPr>
                <w:rFonts w:asciiTheme="minorHAnsi" w:hAnsiTheme="minorHAnsi" w:cstheme="minorHAnsi"/>
              </w:rPr>
              <w:t xml:space="preserve">) koje su izradili Gong, HND i SNH, kao i Preporuke Povjerenstva za neprofitne medije Ministarstva kulture u programu dodjele bespovratnih sredstava neprofitnim medijima iz 2014. godine (dijelom interpretirane ovdje: </w:t>
            </w:r>
          </w:p>
          <w:p w:rsidR="00AD708A" w:rsidRPr="00464664" w:rsidRDefault="00AD708A" w:rsidP="00760099">
            <w:pPr>
              <w:spacing w:line="276" w:lineRule="auto"/>
              <w:jc w:val="both"/>
              <w:rPr>
                <w:rFonts w:asciiTheme="minorHAnsi" w:hAnsiTheme="minorHAnsi" w:cstheme="minorHAnsi"/>
              </w:rPr>
            </w:pPr>
            <w:hyperlink r:id="rId7" w:history="1">
              <w:r w:rsidRPr="00464664">
                <w:rPr>
                  <w:rStyle w:val="Hiperveza"/>
                  <w:rFonts w:asciiTheme="minorHAnsi" w:hAnsiTheme="minorHAnsi" w:cstheme="minorHAnsi"/>
                </w:rPr>
                <w:t>https://arhiva.h-alter.org/vijesti/opca-opcinjenost-mufom</w:t>
              </w:r>
            </w:hyperlink>
            <w:r w:rsidRPr="00464664">
              <w:rPr>
                <w:rFonts w:asciiTheme="minorHAnsi" w:hAnsiTheme="minorHAnsi" w:cstheme="minorHAnsi"/>
              </w:rPr>
              <w:t>,integralnu verziju posjeduje UNMK).</w:t>
            </w:r>
          </w:p>
          <w:p w:rsidR="00AD708A" w:rsidRPr="00464664" w:rsidRDefault="00AD708A" w:rsidP="00760099">
            <w:pPr>
              <w:pStyle w:val="Odlomakpopisa"/>
              <w:spacing w:line="276" w:lineRule="auto"/>
              <w:jc w:val="both"/>
              <w:rPr>
                <w:rFonts w:asciiTheme="minorHAnsi" w:hAnsiTheme="minorHAnsi" w:cstheme="minorHAnsi"/>
              </w:rPr>
            </w:pPr>
          </w:p>
          <w:p w:rsidR="00AD708A" w:rsidRPr="00464664" w:rsidRDefault="00AD708A" w:rsidP="00760099">
            <w:pPr>
              <w:spacing w:line="276" w:lineRule="auto"/>
              <w:jc w:val="both"/>
              <w:rPr>
                <w:rFonts w:asciiTheme="minorHAnsi" w:hAnsiTheme="minorHAnsi" w:cstheme="minorHAnsi"/>
              </w:rPr>
            </w:pPr>
            <w:r w:rsidRPr="00464664">
              <w:rPr>
                <w:rFonts w:asciiTheme="minorHAnsi" w:hAnsiTheme="minorHAnsi" w:cstheme="minorHAnsi"/>
                <w:b/>
              </w:rPr>
              <w:t>Općenita primjedba 6:</w:t>
            </w:r>
            <w:r w:rsidRPr="00464664">
              <w:rPr>
                <w:rFonts w:asciiTheme="minorHAnsi" w:hAnsiTheme="minorHAnsi" w:cstheme="minorHAnsi"/>
              </w:rPr>
              <w:t xml:space="preserve"> Ponuđeni prijedlog bit će treći po redu program</w:t>
            </w:r>
            <w:r w:rsidRPr="00464664">
              <w:rPr>
                <w:rFonts w:asciiTheme="minorHAnsi" w:hAnsiTheme="minorHAnsi" w:cstheme="minorHAnsi"/>
                <w:b/>
                <w:bCs/>
              </w:rPr>
              <w:t xml:space="preserve"> </w:t>
            </w:r>
            <w:r w:rsidRPr="00464664">
              <w:rPr>
                <w:rFonts w:asciiTheme="minorHAnsi" w:hAnsiTheme="minorHAnsi" w:cstheme="minorHAnsi"/>
                <w:bCs/>
              </w:rPr>
              <w:t xml:space="preserve">potpore male vrijednosti za sufinanciranje proizvodnje i objave programskih sadržaja u elektroničkim publikacijama, u posljednje tri godine, tj. od posljednje smjene političke vlasti u Gradu, ali tek prvi za koji su predlagači organizirali javno savjetovanje. Smatramo da bi predlagači trebali objasniti razloge koji su ih naveli da upravo za ovaj Program </w:t>
            </w:r>
            <w:r w:rsidRPr="00464664">
              <w:rPr>
                <w:rFonts w:asciiTheme="minorHAnsi" w:hAnsiTheme="minorHAnsi" w:cstheme="minorHAnsi"/>
                <w:bCs/>
              </w:rPr>
              <w:lastRenderedPageBreak/>
              <w:t xml:space="preserve">organiziraju javno savjetovanje, za razliku od prethodna dva koja su stupila na snagu bez prethodno provedenog javnog savjetovanja, tj. predlagači su smatrali da se na njih ne odnosi čl. 11. ZPPI-ja. </w:t>
            </w:r>
          </w:p>
          <w:p w:rsidR="00AD708A" w:rsidRPr="00464664" w:rsidRDefault="00AD708A" w:rsidP="00760099">
            <w:pPr>
              <w:jc w:val="both"/>
              <w:rPr>
                <w:rFonts w:asciiTheme="minorHAnsi" w:hAnsiTheme="minorHAnsi" w:cstheme="minorHAnsi"/>
              </w:rPr>
            </w:pPr>
            <w:r w:rsidRPr="00464664">
              <w:rPr>
                <w:rFonts w:asciiTheme="minorHAnsi" w:hAnsiTheme="minorHAnsi" w:cstheme="minorHAnsi"/>
              </w:rPr>
              <w:t xml:space="preserve"> </w:t>
            </w:r>
          </w:p>
          <w:p w:rsidR="00AD708A" w:rsidRPr="00464664" w:rsidRDefault="00AD708A" w:rsidP="00760099">
            <w:pPr>
              <w:rPr>
                <w:rFonts w:asciiTheme="minorHAnsi" w:hAnsiTheme="minorHAnsi" w:cstheme="minorHAnsi"/>
              </w:rPr>
            </w:pPr>
          </w:p>
          <w:p w:rsidR="00AD708A" w:rsidRPr="00464664" w:rsidRDefault="00AD708A" w:rsidP="00760099">
            <w:pPr>
              <w:rPr>
                <w:rFonts w:asciiTheme="minorHAnsi" w:hAnsiTheme="minorHAnsi" w:cstheme="minorHAnsi"/>
              </w:rPr>
            </w:pPr>
          </w:p>
          <w:p w:rsidR="00AD708A" w:rsidRPr="00464664" w:rsidRDefault="00AD708A" w:rsidP="00760099">
            <w:pPr>
              <w:spacing w:line="276" w:lineRule="auto"/>
              <w:rPr>
                <w:rFonts w:asciiTheme="minorHAnsi" w:eastAsia="Times New Roman" w:hAnsiTheme="minorHAnsi" w:cstheme="minorHAnsi"/>
                <w:color w:val="auto"/>
              </w:rPr>
            </w:pPr>
          </w:p>
          <w:p w:rsidR="00AD708A" w:rsidRPr="00464664" w:rsidRDefault="00AD708A" w:rsidP="00AD708A">
            <w:pPr>
              <w:pStyle w:val="Odlomakpopisa"/>
              <w:numPr>
                <w:ilvl w:val="0"/>
                <w:numId w:val="1"/>
              </w:numPr>
              <w:autoSpaceDE w:val="0"/>
              <w:autoSpaceDN w:val="0"/>
              <w:adjustRightInd w:val="0"/>
              <w:spacing w:line="276" w:lineRule="auto"/>
              <w:rPr>
                <w:rFonts w:asciiTheme="minorHAnsi" w:hAnsiTheme="minorHAnsi" w:cstheme="minorHAnsi"/>
                <w:b/>
                <w:bCs/>
                <w:u w:val="single"/>
              </w:rPr>
            </w:pPr>
            <w:r w:rsidRPr="00464664">
              <w:rPr>
                <w:rFonts w:asciiTheme="minorHAnsi" w:hAnsiTheme="minorHAnsi" w:cstheme="minorHAnsi"/>
                <w:b/>
                <w:bCs/>
                <w:u w:val="single"/>
              </w:rPr>
              <w:t>Cilj dodjele potpore male vrijednosti</w:t>
            </w:r>
          </w:p>
          <w:p w:rsidR="00AD708A" w:rsidRPr="00464664" w:rsidRDefault="00AD708A" w:rsidP="00760099">
            <w:pPr>
              <w:autoSpaceDE w:val="0"/>
              <w:autoSpaceDN w:val="0"/>
              <w:spacing w:line="276" w:lineRule="auto"/>
              <w:rPr>
                <w:rFonts w:asciiTheme="minorHAnsi" w:hAnsiTheme="minorHAnsi" w:cstheme="minorHAnsi"/>
              </w:rPr>
            </w:pPr>
            <w:r w:rsidRPr="00464664">
              <w:rPr>
                <w:rFonts w:asciiTheme="minorHAnsi" w:hAnsiTheme="minorHAnsi" w:cstheme="minorHAnsi"/>
                <w:bCs/>
              </w:rPr>
              <w:t>Predloženi ciljevi razlikuju se od ciljeva prošlogodišnjeg javnog poziva, a ciljevi prošlogodišnjeg javnog poziva razlikuju se od ciljeva koji su bili istaknuti prethodne (2022.) godine. Očito je da Grad Zagreb ima problem s osmišljavanjem cilj/</w:t>
            </w:r>
            <w:proofErr w:type="spellStart"/>
            <w:r w:rsidRPr="00464664">
              <w:rPr>
                <w:rFonts w:asciiTheme="minorHAnsi" w:hAnsiTheme="minorHAnsi" w:cstheme="minorHAnsi"/>
                <w:bCs/>
              </w:rPr>
              <w:t>ev</w:t>
            </w:r>
            <w:proofErr w:type="spellEnd"/>
            <w:r w:rsidRPr="00464664">
              <w:rPr>
                <w:rFonts w:asciiTheme="minorHAnsi" w:hAnsiTheme="minorHAnsi" w:cstheme="minorHAnsi"/>
                <w:bCs/>
              </w:rPr>
              <w:t>/a dodjele sredstava za programske sadržaje u elektroničkim publikacijama / portalima a cilj/</w:t>
            </w:r>
            <w:proofErr w:type="spellStart"/>
            <w:r w:rsidRPr="00464664">
              <w:rPr>
                <w:rFonts w:asciiTheme="minorHAnsi" w:hAnsiTheme="minorHAnsi" w:cstheme="minorHAnsi"/>
                <w:bCs/>
              </w:rPr>
              <w:t>evi</w:t>
            </w:r>
            <w:proofErr w:type="spellEnd"/>
            <w:r w:rsidRPr="00464664">
              <w:rPr>
                <w:rFonts w:asciiTheme="minorHAnsi" w:hAnsiTheme="minorHAnsi" w:cstheme="minorHAnsi"/>
                <w:bCs/>
              </w:rPr>
              <w:t xml:space="preserve"> programa bitno su mjesto javnog poziva. Pomoć gore predložene radne skupine dobro bi vam došla u njihovu osmišljavanju.</w:t>
            </w:r>
          </w:p>
          <w:p w:rsidR="00AD708A" w:rsidRPr="00464664" w:rsidRDefault="00AD708A" w:rsidP="00760099">
            <w:pPr>
              <w:spacing w:line="276" w:lineRule="auto"/>
              <w:rPr>
                <w:rFonts w:asciiTheme="minorHAnsi" w:hAnsiTheme="minorHAnsi" w:cstheme="minorHAnsi"/>
                <w:bCs/>
              </w:rPr>
            </w:pPr>
            <w:r w:rsidRPr="00464664">
              <w:rPr>
                <w:rFonts w:asciiTheme="minorHAnsi" w:hAnsiTheme="minorHAnsi" w:cstheme="minorHAnsi"/>
                <w:bCs/>
              </w:rPr>
              <w:t xml:space="preserve">Naime, ovogodišnji „ciljevi“ opet su opterećeni loše promišljenim i nerazrađenim rješenjima, koja zbog svoje nepromišljenosti i nerazrađenosti uzrokuju leksičku i </w:t>
            </w:r>
            <w:proofErr w:type="spellStart"/>
            <w:r w:rsidRPr="00464664">
              <w:rPr>
                <w:rFonts w:asciiTheme="minorHAnsi" w:hAnsiTheme="minorHAnsi" w:cstheme="minorHAnsi"/>
                <w:bCs/>
              </w:rPr>
              <w:t>nomotehničku</w:t>
            </w:r>
            <w:proofErr w:type="spellEnd"/>
            <w:r w:rsidRPr="00464664">
              <w:rPr>
                <w:rFonts w:asciiTheme="minorHAnsi" w:hAnsiTheme="minorHAnsi" w:cstheme="minorHAnsi"/>
                <w:bCs/>
              </w:rPr>
              <w:t xml:space="preserve"> zbrku.</w:t>
            </w:r>
          </w:p>
          <w:p w:rsidR="00AD708A" w:rsidRPr="00464664" w:rsidRDefault="00AD708A" w:rsidP="00760099">
            <w:pPr>
              <w:spacing w:line="276" w:lineRule="auto"/>
              <w:ind w:firstLine="360"/>
              <w:rPr>
                <w:rFonts w:asciiTheme="minorHAnsi" w:hAnsiTheme="minorHAnsi" w:cstheme="minorHAnsi"/>
                <w:b/>
                <w:bCs/>
              </w:rPr>
            </w:pPr>
          </w:p>
          <w:p w:rsidR="00AD708A" w:rsidRPr="00464664" w:rsidRDefault="00AD708A" w:rsidP="00760099">
            <w:pPr>
              <w:autoSpaceDE w:val="0"/>
              <w:autoSpaceDN w:val="0"/>
              <w:adjustRightInd w:val="0"/>
              <w:spacing w:line="276" w:lineRule="auto"/>
              <w:rPr>
                <w:rFonts w:asciiTheme="minorHAnsi" w:hAnsiTheme="minorHAnsi" w:cstheme="minorHAnsi"/>
                <w:b/>
                <w:bCs/>
                <w:u w:val="single"/>
              </w:rPr>
            </w:pPr>
            <w:r w:rsidRPr="00464664">
              <w:rPr>
                <w:rFonts w:asciiTheme="minorHAnsi" w:hAnsiTheme="minorHAnsi" w:cstheme="minorHAnsi"/>
                <w:b/>
                <w:bCs/>
                <w:u w:val="single"/>
              </w:rPr>
              <w:t>5. Korisnici</w:t>
            </w:r>
          </w:p>
          <w:p w:rsidR="00AD708A" w:rsidRPr="00464664" w:rsidRDefault="00AD708A" w:rsidP="00760099">
            <w:pPr>
              <w:autoSpaceDE w:val="0"/>
              <w:autoSpaceDN w:val="0"/>
              <w:adjustRightInd w:val="0"/>
              <w:spacing w:line="276" w:lineRule="auto"/>
              <w:rPr>
                <w:rFonts w:asciiTheme="minorHAnsi" w:hAnsiTheme="minorHAnsi" w:cstheme="minorHAnsi"/>
                <w:bCs/>
              </w:rPr>
            </w:pPr>
          </w:p>
          <w:p w:rsidR="00AD708A" w:rsidRPr="00464664" w:rsidRDefault="00AD708A" w:rsidP="00760099">
            <w:pPr>
              <w:autoSpaceDE w:val="0"/>
              <w:autoSpaceDN w:val="0"/>
              <w:adjustRightInd w:val="0"/>
              <w:spacing w:line="276" w:lineRule="auto"/>
              <w:rPr>
                <w:rFonts w:asciiTheme="minorHAnsi" w:hAnsiTheme="minorHAnsi" w:cstheme="minorHAnsi"/>
              </w:rPr>
            </w:pPr>
            <w:r w:rsidRPr="00464664">
              <w:rPr>
                <w:rFonts w:asciiTheme="minorHAnsi" w:hAnsiTheme="minorHAnsi" w:cstheme="minorHAnsi"/>
              </w:rPr>
              <w:t xml:space="preserve">„Pravo na dodjelu potpore male vrijednosti po Programu mogu ostvariti </w:t>
            </w:r>
            <w:r w:rsidRPr="00464664">
              <w:rPr>
                <w:rFonts w:asciiTheme="minorHAnsi" w:hAnsiTheme="minorHAnsi" w:cstheme="minorHAnsi"/>
                <w:b/>
              </w:rPr>
              <w:t xml:space="preserve">nakladnici </w:t>
            </w:r>
            <w:r w:rsidRPr="00464664">
              <w:rPr>
                <w:rFonts w:asciiTheme="minorHAnsi" w:hAnsiTheme="minorHAnsi" w:cstheme="minorHAnsi"/>
              </w:rPr>
              <w:t>elektroničkih publikacija (portali): /.../ -</w:t>
            </w:r>
            <w:r w:rsidRPr="00464664">
              <w:rPr>
                <w:rFonts w:asciiTheme="minorHAnsi" w:hAnsiTheme="minorHAnsi" w:cstheme="minorHAnsi"/>
              </w:rPr>
              <w:tab/>
              <w:t>koji nisu elektroničke inačice tiskanih, televizijskih, radijskih i drugih medija.“</w:t>
            </w:r>
          </w:p>
          <w:p w:rsidR="00AD708A" w:rsidRPr="00464664" w:rsidRDefault="00AD708A" w:rsidP="00760099">
            <w:pPr>
              <w:autoSpaceDE w:val="0"/>
              <w:autoSpaceDN w:val="0"/>
              <w:adjustRightInd w:val="0"/>
              <w:spacing w:line="276" w:lineRule="auto"/>
              <w:ind w:firstLine="709"/>
              <w:rPr>
                <w:rFonts w:asciiTheme="minorHAnsi" w:hAnsiTheme="minorHAnsi" w:cstheme="minorHAnsi"/>
              </w:rPr>
            </w:pPr>
          </w:p>
          <w:p w:rsidR="00AD708A" w:rsidRPr="00464664" w:rsidRDefault="00AD708A" w:rsidP="00760099">
            <w:pPr>
              <w:autoSpaceDE w:val="0"/>
              <w:autoSpaceDN w:val="0"/>
              <w:adjustRightInd w:val="0"/>
              <w:spacing w:line="276" w:lineRule="auto"/>
              <w:rPr>
                <w:rFonts w:asciiTheme="minorHAnsi" w:hAnsiTheme="minorHAnsi" w:cstheme="minorHAnsi"/>
              </w:rPr>
            </w:pPr>
            <w:r w:rsidRPr="00464664">
              <w:rPr>
                <w:rFonts w:asciiTheme="minorHAnsi" w:hAnsiTheme="minorHAnsi" w:cstheme="minorHAnsi"/>
                <w:b/>
              </w:rPr>
              <w:t>Primjedba 1:</w:t>
            </w:r>
            <w:r w:rsidRPr="00464664">
              <w:rPr>
                <w:rFonts w:asciiTheme="minorHAnsi" w:hAnsiTheme="minorHAnsi" w:cstheme="minorHAnsi"/>
              </w:rPr>
              <w:t xml:space="preserve"> Niti jedan nakladnik nije </w:t>
            </w:r>
            <w:proofErr w:type="spellStart"/>
            <w:r w:rsidRPr="00464664">
              <w:rPr>
                <w:rFonts w:asciiTheme="minorHAnsi" w:hAnsiTheme="minorHAnsi" w:cstheme="minorHAnsi"/>
              </w:rPr>
              <w:t>elekronička</w:t>
            </w:r>
            <w:proofErr w:type="spellEnd"/>
            <w:r w:rsidRPr="00464664">
              <w:rPr>
                <w:rFonts w:asciiTheme="minorHAnsi" w:hAnsiTheme="minorHAnsi" w:cstheme="minorHAnsi"/>
              </w:rPr>
              <w:t xml:space="preserve"> inačica bilo čega. A iz svega napisanoga proizlazi da potporu ne mogu ostvariti „portali“, nego njegovi nakladnici. </w:t>
            </w:r>
          </w:p>
          <w:p w:rsidR="00AD708A" w:rsidRPr="00464664" w:rsidRDefault="00AD708A" w:rsidP="00760099">
            <w:pPr>
              <w:pStyle w:val="Naslov2"/>
              <w:spacing w:before="0" w:line="276" w:lineRule="auto"/>
              <w:textAlignment w:val="baseline"/>
              <w:outlineLvl w:val="1"/>
              <w:rPr>
                <w:rFonts w:asciiTheme="minorHAnsi" w:hAnsiTheme="minorHAnsi" w:cstheme="minorHAnsi"/>
                <w:color w:val="auto"/>
                <w:sz w:val="22"/>
                <w:szCs w:val="22"/>
              </w:rPr>
            </w:pPr>
            <w:r w:rsidRPr="00464664">
              <w:rPr>
                <w:rFonts w:asciiTheme="minorHAnsi" w:hAnsiTheme="minorHAnsi" w:cstheme="minorHAnsi"/>
                <w:b/>
                <w:color w:val="auto"/>
                <w:sz w:val="22"/>
                <w:szCs w:val="22"/>
              </w:rPr>
              <w:lastRenderedPageBreak/>
              <w:t>Primjedba 2:</w:t>
            </w:r>
            <w:r w:rsidRPr="00464664">
              <w:rPr>
                <w:rFonts w:asciiTheme="minorHAnsi" w:hAnsiTheme="minorHAnsi" w:cstheme="minorHAnsi"/>
                <w:color w:val="auto"/>
                <w:sz w:val="22"/>
                <w:szCs w:val="22"/>
              </w:rPr>
              <w:t xml:space="preserve"> Osim toga, a u ime proklamirane „</w:t>
            </w:r>
            <w:r w:rsidRPr="00464664">
              <w:rPr>
                <w:rFonts w:asciiTheme="minorHAnsi" w:eastAsia="Times New Roman" w:hAnsiTheme="minorHAnsi" w:cstheme="minorHAnsi"/>
                <w:color w:val="auto"/>
                <w:sz w:val="22"/>
                <w:szCs w:val="22"/>
              </w:rPr>
              <w:t xml:space="preserve">društvene jednakosti“, </w:t>
            </w:r>
            <w:r w:rsidRPr="00464664">
              <w:rPr>
                <w:rFonts w:asciiTheme="minorHAnsi" w:hAnsiTheme="minorHAnsi" w:cstheme="minorHAnsi"/>
                <w:color w:val="auto"/>
                <w:sz w:val="22"/>
                <w:szCs w:val="22"/>
              </w:rPr>
              <w:t xml:space="preserve">trebalo bi s dosta pažnje i s jakim argumentima razmotriti i argumentirati diskriminira li Grad Zagreb elektroničke publikacije koji </w:t>
            </w:r>
            <w:r w:rsidRPr="00464664">
              <w:rPr>
                <w:rFonts w:asciiTheme="minorHAnsi" w:hAnsiTheme="minorHAnsi" w:cstheme="minorHAnsi"/>
                <w:i/>
                <w:color w:val="auto"/>
                <w:sz w:val="22"/>
                <w:szCs w:val="22"/>
              </w:rPr>
              <w:t>jesu</w:t>
            </w:r>
            <w:r w:rsidRPr="00464664">
              <w:rPr>
                <w:rFonts w:asciiTheme="minorHAnsi" w:hAnsiTheme="minorHAnsi" w:cstheme="minorHAnsi"/>
                <w:color w:val="auto"/>
                <w:sz w:val="22"/>
                <w:szCs w:val="22"/>
              </w:rPr>
              <w:t xml:space="preserve"> elektroničke inačice drugih medija, jer ni ZEM niti AEM-ov Pravilnik o uvjetima za upis u Upisnik pružatelja elektroničkih publikacija ne razlikuju jedne od drugih.</w:t>
            </w:r>
          </w:p>
          <w:p w:rsidR="00AD708A" w:rsidRPr="00464664" w:rsidRDefault="00AD708A" w:rsidP="00760099">
            <w:pPr>
              <w:spacing w:line="276" w:lineRule="auto"/>
              <w:rPr>
                <w:rFonts w:asciiTheme="minorHAnsi" w:hAnsiTheme="minorHAnsi" w:cstheme="minorHAnsi"/>
                <w:color w:val="auto"/>
                <w:u w:val="single"/>
              </w:rPr>
            </w:pPr>
          </w:p>
          <w:p w:rsidR="00AD708A" w:rsidRPr="00464664" w:rsidRDefault="00AD708A" w:rsidP="00760099">
            <w:pPr>
              <w:autoSpaceDE w:val="0"/>
              <w:autoSpaceDN w:val="0"/>
              <w:adjustRightInd w:val="0"/>
              <w:spacing w:line="276" w:lineRule="auto"/>
              <w:rPr>
                <w:rFonts w:asciiTheme="minorHAnsi" w:hAnsiTheme="minorHAnsi" w:cstheme="minorHAnsi"/>
                <w:b/>
                <w:bCs/>
                <w:u w:val="single"/>
              </w:rPr>
            </w:pPr>
            <w:r w:rsidRPr="00464664">
              <w:rPr>
                <w:rFonts w:asciiTheme="minorHAnsi" w:hAnsiTheme="minorHAnsi" w:cstheme="minorHAnsi"/>
                <w:b/>
                <w:bCs/>
                <w:u w:val="single"/>
              </w:rPr>
              <w:t>8. Provedba Programa</w:t>
            </w:r>
          </w:p>
          <w:p w:rsidR="00AD708A" w:rsidRPr="00464664" w:rsidRDefault="00AD708A" w:rsidP="00760099">
            <w:pPr>
              <w:spacing w:line="276" w:lineRule="auto"/>
              <w:rPr>
                <w:rFonts w:asciiTheme="minorHAnsi" w:hAnsiTheme="minorHAnsi" w:cstheme="minorHAnsi"/>
              </w:rPr>
            </w:pPr>
            <w:r w:rsidRPr="00464664">
              <w:rPr>
                <w:rFonts w:asciiTheme="minorHAnsi" w:hAnsiTheme="minorHAnsi" w:cstheme="minorHAnsi"/>
              </w:rPr>
              <w:t xml:space="preserve">Obratiti pažnju na našu 1. općenitu primjedbu: U ime proklamiranog </w:t>
            </w:r>
            <w:r w:rsidRPr="00464664">
              <w:rPr>
                <w:rFonts w:asciiTheme="minorHAnsi" w:hAnsiTheme="minorHAnsi" w:cstheme="minorHAnsi"/>
                <w:bCs/>
              </w:rPr>
              <w:t>„</w:t>
            </w:r>
            <w:r w:rsidRPr="00464664">
              <w:rPr>
                <w:rFonts w:asciiTheme="minorHAnsi" w:hAnsiTheme="minorHAnsi" w:cstheme="minorHAnsi"/>
              </w:rPr>
              <w:t xml:space="preserve">jačanja profesionalnih kapaciteta novinara, poboljšavanja uvjeta rada i razvoja organizacijskih kapaciteta u lokanim medijima“, Javni poziv za </w:t>
            </w:r>
            <w:r w:rsidRPr="00464664">
              <w:rPr>
                <w:rFonts w:asciiTheme="minorHAnsi" w:hAnsiTheme="minorHAnsi" w:cstheme="minorHAnsi"/>
                <w:i/>
              </w:rPr>
              <w:t>tekuću</w:t>
            </w:r>
            <w:r w:rsidRPr="00464664">
              <w:rPr>
                <w:rFonts w:asciiTheme="minorHAnsi" w:hAnsiTheme="minorHAnsi" w:cstheme="minorHAnsi"/>
              </w:rPr>
              <w:t xml:space="preserve"> godinu bi trebao biti raspisan u jesen </w:t>
            </w:r>
            <w:r w:rsidRPr="00464664">
              <w:rPr>
                <w:rFonts w:asciiTheme="minorHAnsi" w:hAnsiTheme="minorHAnsi" w:cstheme="minorHAnsi"/>
                <w:i/>
              </w:rPr>
              <w:t>prethodne</w:t>
            </w:r>
            <w:r w:rsidRPr="00464664">
              <w:rPr>
                <w:rFonts w:asciiTheme="minorHAnsi" w:hAnsiTheme="minorHAnsi" w:cstheme="minorHAnsi"/>
              </w:rPr>
              <w:t xml:space="preserve"> godine, kako bi bio proveden do kraja prethodne godine, i kako bi ugovori bili potpisani početkom godine za koju je natječaj raspisan. Dodjela sredstava u mjesecu studenom godine za koju je javni poziv raspisan, s obavezom završetka predviđenih medijskih aktivnosti do kraja iste godine, izrazito je loše rješenje. UNMK tako ne može i ne želi raditi i zato prošle godine nismo niti potpisali ugovor s Gradom, premda nam je bilo odobreno 8000 eura. Razloge smo detaljno elaborirali u dopisu Uredu gradonačelnika od 6. 12. 2023.</w:t>
            </w:r>
          </w:p>
          <w:p w:rsidR="00AD708A" w:rsidRPr="00464664" w:rsidRDefault="00AD708A" w:rsidP="00760099">
            <w:pPr>
              <w:spacing w:line="276" w:lineRule="auto"/>
              <w:rPr>
                <w:rFonts w:asciiTheme="minorHAnsi" w:hAnsiTheme="minorHAnsi" w:cstheme="minorHAnsi"/>
              </w:rPr>
            </w:pPr>
          </w:p>
          <w:p w:rsidR="00AD708A" w:rsidRDefault="00AD708A" w:rsidP="00760099">
            <w:pPr>
              <w:spacing w:line="276" w:lineRule="auto"/>
              <w:rPr>
                <w:rFonts w:asciiTheme="minorHAnsi" w:hAnsiTheme="minorHAnsi" w:cstheme="minorHAnsi"/>
              </w:rPr>
            </w:pPr>
          </w:p>
          <w:p w:rsidR="00AD708A" w:rsidRDefault="00AD708A" w:rsidP="00760099">
            <w:pPr>
              <w:spacing w:line="276" w:lineRule="auto"/>
              <w:rPr>
                <w:rFonts w:asciiTheme="minorHAnsi" w:hAnsiTheme="minorHAnsi" w:cstheme="minorHAnsi"/>
              </w:rPr>
            </w:pPr>
          </w:p>
          <w:p w:rsidR="00AD708A" w:rsidRDefault="00AD708A" w:rsidP="00760099">
            <w:pPr>
              <w:spacing w:line="276" w:lineRule="auto"/>
              <w:rPr>
                <w:rFonts w:asciiTheme="minorHAnsi" w:hAnsiTheme="minorHAnsi" w:cstheme="minorHAnsi"/>
              </w:rPr>
            </w:pPr>
          </w:p>
          <w:p w:rsidR="00AD708A" w:rsidRDefault="00AD708A" w:rsidP="00760099">
            <w:pPr>
              <w:spacing w:line="276" w:lineRule="auto"/>
              <w:rPr>
                <w:rFonts w:asciiTheme="minorHAnsi" w:hAnsiTheme="minorHAnsi" w:cstheme="minorHAnsi"/>
              </w:rPr>
            </w:pPr>
          </w:p>
          <w:p w:rsidR="00AD708A" w:rsidRDefault="00AD708A" w:rsidP="00760099">
            <w:pPr>
              <w:spacing w:line="276" w:lineRule="auto"/>
              <w:rPr>
                <w:rFonts w:asciiTheme="minorHAnsi" w:hAnsiTheme="minorHAnsi" w:cstheme="minorHAnsi"/>
              </w:rPr>
            </w:pPr>
          </w:p>
          <w:p w:rsidR="00AD708A" w:rsidRDefault="00AD708A" w:rsidP="00760099">
            <w:pPr>
              <w:spacing w:line="276" w:lineRule="auto"/>
              <w:rPr>
                <w:rFonts w:asciiTheme="minorHAnsi" w:hAnsiTheme="minorHAnsi" w:cstheme="minorHAnsi"/>
              </w:rPr>
            </w:pPr>
          </w:p>
          <w:p w:rsidR="00AD708A" w:rsidRDefault="00AD708A" w:rsidP="00760099">
            <w:pPr>
              <w:spacing w:line="276" w:lineRule="auto"/>
              <w:rPr>
                <w:rFonts w:asciiTheme="minorHAnsi" w:hAnsiTheme="minorHAnsi" w:cstheme="minorHAnsi"/>
              </w:rPr>
            </w:pPr>
          </w:p>
          <w:p w:rsidR="00AD708A" w:rsidRDefault="00AD708A" w:rsidP="00760099">
            <w:pPr>
              <w:spacing w:line="276" w:lineRule="auto"/>
              <w:rPr>
                <w:rFonts w:asciiTheme="minorHAnsi" w:hAnsiTheme="minorHAnsi" w:cstheme="minorHAnsi"/>
              </w:rPr>
            </w:pPr>
          </w:p>
          <w:p w:rsidR="00AD708A" w:rsidRDefault="00AD708A" w:rsidP="00760099">
            <w:pPr>
              <w:spacing w:line="276" w:lineRule="auto"/>
              <w:rPr>
                <w:rFonts w:asciiTheme="minorHAnsi" w:hAnsiTheme="minorHAnsi" w:cstheme="minorHAnsi"/>
              </w:rPr>
            </w:pPr>
          </w:p>
          <w:p w:rsidR="00AD708A" w:rsidRDefault="00AD708A" w:rsidP="00760099">
            <w:pPr>
              <w:spacing w:line="276" w:lineRule="auto"/>
              <w:rPr>
                <w:rFonts w:asciiTheme="minorHAnsi" w:hAnsiTheme="minorHAnsi" w:cstheme="minorHAnsi"/>
              </w:rPr>
            </w:pPr>
          </w:p>
          <w:p w:rsidR="00AD708A" w:rsidRPr="00464664" w:rsidRDefault="00AD708A" w:rsidP="00760099">
            <w:pPr>
              <w:spacing w:line="276" w:lineRule="auto"/>
              <w:rPr>
                <w:rFonts w:asciiTheme="minorHAnsi" w:hAnsiTheme="minorHAnsi" w:cstheme="minorHAnsi"/>
              </w:rPr>
            </w:pPr>
          </w:p>
          <w:p w:rsidR="00AD708A" w:rsidRPr="00464664" w:rsidRDefault="00AD708A" w:rsidP="00760099">
            <w:pPr>
              <w:autoSpaceDE w:val="0"/>
              <w:autoSpaceDN w:val="0"/>
              <w:adjustRightInd w:val="0"/>
              <w:spacing w:line="276" w:lineRule="auto"/>
              <w:rPr>
                <w:rFonts w:asciiTheme="minorHAnsi" w:hAnsiTheme="minorHAnsi" w:cstheme="minorHAnsi"/>
                <w:b/>
                <w:bCs/>
                <w:u w:val="single"/>
              </w:rPr>
            </w:pPr>
            <w:r w:rsidRPr="00464664">
              <w:rPr>
                <w:rFonts w:asciiTheme="minorHAnsi" w:hAnsiTheme="minorHAnsi" w:cstheme="minorHAnsi"/>
                <w:b/>
                <w:bCs/>
                <w:u w:val="single"/>
              </w:rPr>
              <w:lastRenderedPageBreak/>
              <w:t>10. Kriteriji za dodjelu potpore male vrijednosti + LISTA KRITERIJA ZA PROCJENU PROGRAMSKIH SADRŽAJA</w:t>
            </w:r>
          </w:p>
          <w:p w:rsidR="00AD708A" w:rsidRPr="00464664" w:rsidRDefault="00AD708A" w:rsidP="00760099">
            <w:pPr>
              <w:spacing w:line="276" w:lineRule="auto"/>
              <w:rPr>
                <w:rFonts w:asciiTheme="minorHAnsi" w:hAnsiTheme="minorHAnsi" w:cstheme="minorHAnsi"/>
                <w:b/>
              </w:rPr>
            </w:pPr>
          </w:p>
          <w:p w:rsidR="00AD708A" w:rsidRPr="00464664" w:rsidRDefault="00AD708A" w:rsidP="00760099">
            <w:pPr>
              <w:spacing w:line="276" w:lineRule="auto"/>
              <w:rPr>
                <w:rFonts w:asciiTheme="minorHAnsi" w:hAnsiTheme="minorHAnsi" w:cstheme="minorHAnsi"/>
              </w:rPr>
            </w:pPr>
            <w:r w:rsidRPr="00464664">
              <w:rPr>
                <w:rFonts w:asciiTheme="minorHAnsi" w:hAnsiTheme="minorHAnsi" w:cstheme="minorHAnsi"/>
                <w:b/>
              </w:rPr>
              <w:t>Primjedba 1.:</w:t>
            </w:r>
            <w:r w:rsidRPr="00464664">
              <w:rPr>
                <w:rFonts w:asciiTheme="minorHAnsi" w:hAnsiTheme="minorHAnsi" w:cstheme="minorHAnsi"/>
              </w:rPr>
              <w:t xml:space="preserve"> „Sadržajna inovativnost i aktualnost, pluralizam tema i </w:t>
            </w:r>
            <w:proofErr w:type="spellStart"/>
            <w:r w:rsidRPr="00464664">
              <w:rPr>
                <w:rFonts w:asciiTheme="minorHAnsi" w:hAnsiTheme="minorHAnsi" w:cstheme="minorHAnsi"/>
              </w:rPr>
              <w:t>inkluzivnost</w:t>
            </w:r>
            <w:proofErr w:type="spellEnd"/>
            <w:r w:rsidRPr="00464664">
              <w:rPr>
                <w:rFonts w:asciiTheme="minorHAnsi" w:hAnsiTheme="minorHAnsi" w:cstheme="minorHAnsi"/>
              </w:rPr>
              <w:t>“ - nije jasno kako Povjerenstvo za dodjelu potpora može ocjenjivati inovativnost i aktualnost nečega što postoji samo kao „projektni prijedlog“. Smatramo da bi, umjesto navedenoga, jedan od kriterija trebao biti ocjena dosadašnjeg sadržaja portala u cijelosti (npr. kroz zadnje 2-3 godine) – a ne svoditi čitavu evaluaciju na razmatranje ponuđenog programskog sadržaja.</w:t>
            </w:r>
          </w:p>
          <w:p w:rsidR="00AD708A" w:rsidRPr="00464664" w:rsidRDefault="00AD708A" w:rsidP="00760099">
            <w:pPr>
              <w:autoSpaceDE w:val="0"/>
              <w:autoSpaceDN w:val="0"/>
              <w:adjustRightInd w:val="0"/>
              <w:spacing w:line="276" w:lineRule="auto"/>
              <w:rPr>
                <w:rFonts w:asciiTheme="minorHAnsi" w:hAnsiTheme="minorHAnsi" w:cstheme="minorHAnsi"/>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Pr="00464664" w:rsidRDefault="00AD708A" w:rsidP="00760099">
            <w:pPr>
              <w:autoSpaceDE w:val="0"/>
              <w:autoSpaceDN w:val="0"/>
              <w:adjustRightInd w:val="0"/>
              <w:spacing w:line="276" w:lineRule="auto"/>
              <w:rPr>
                <w:rFonts w:asciiTheme="minorHAnsi" w:hAnsiTheme="minorHAnsi" w:cstheme="minorHAnsi"/>
              </w:rPr>
            </w:pPr>
            <w:r w:rsidRPr="00464664">
              <w:rPr>
                <w:rFonts w:asciiTheme="minorHAnsi" w:hAnsiTheme="minorHAnsi" w:cstheme="minorHAnsi"/>
                <w:b/>
              </w:rPr>
              <w:t>Primjedba 2:</w:t>
            </w:r>
            <w:r w:rsidRPr="00464664">
              <w:rPr>
                <w:rFonts w:asciiTheme="minorHAnsi" w:hAnsiTheme="minorHAnsi" w:cstheme="minorHAnsi"/>
              </w:rPr>
              <w:t xml:space="preserve"> „Digitalna prilagođenost i pristupačnost programa osobama s invaliditetom“ – potrebno je jasnije naznačiti što se traži. S time u vezi potrebno je konzultirati udruge i saveze osoba s invaliditetom, posebno udruge slijepih i slabovidnih. Naime, e-programi na kojima danas rade svi relevantni portali toliko su napredni da imaju mogućnost povećavanja slova i spajanja </w:t>
            </w:r>
            <w:proofErr w:type="spellStart"/>
            <w:r w:rsidRPr="00464664">
              <w:rPr>
                <w:rFonts w:asciiTheme="minorHAnsi" w:hAnsiTheme="minorHAnsi" w:cstheme="minorHAnsi"/>
              </w:rPr>
              <w:t>fono</w:t>
            </w:r>
            <w:proofErr w:type="spellEnd"/>
            <w:r w:rsidRPr="00464664">
              <w:rPr>
                <w:rFonts w:asciiTheme="minorHAnsi" w:hAnsiTheme="minorHAnsi" w:cstheme="minorHAnsi"/>
              </w:rPr>
              <w:t>-čitača, pa je ovaj kriterij izlišan. Ovu tvrdnju iznosimo na osnovu razgovora s navedenim udrugama.</w:t>
            </w:r>
          </w:p>
          <w:p w:rsidR="00AD708A" w:rsidRPr="00464664"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Default="00AD708A" w:rsidP="00760099">
            <w:pPr>
              <w:autoSpaceDE w:val="0"/>
              <w:autoSpaceDN w:val="0"/>
              <w:adjustRightInd w:val="0"/>
              <w:spacing w:line="276" w:lineRule="auto"/>
              <w:rPr>
                <w:rFonts w:asciiTheme="minorHAnsi" w:hAnsiTheme="minorHAnsi" w:cstheme="minorHAnsi"/>
                <w:b/>
              </w:rPr>
            </w:pPr>
          </w:p>
          <w:p w:rsidR="00AD708A" w:rsidRPr="00464664" w:rsidRDefault="00AD708A" w:rsidP="00760099">
            <w:pPr>
              <w:autoSpaceDE w:val="0"/>
              <w:autoSpaceDN w:val="0"/>
              <w:adjustRightInd w:val="0"/>
              <w:spacing w:line="276" w:lineRule="auto"/>
              <w:rPr>
                <w:rFonts w:asciiTheme="minorHAnsi" w:hAnsiTheme="minorHAnsi" w:cstheme="minorHAnsi"/>
              </w:rPr>
            </w:pPr>
            <w:r w:rsidRPr="00464664">
              <w:rPr>
                <w:rFonts w:asciiTheme="minorHAnsi" w:hAnsiTheme="minorHAnsi" w:cstheme="minorHAnsi"/>
                <w:b/>
              </w:rPr>
              <w:t>Primjedba 3:</w:t>
            </w:r>
            <w:r w:rsidRPr="00464664">
              <w:rPr>
                <w:rFonts w:asciiTheme="minorHAnsi" w:hAnsiTheme="minorHAnsi" w:cstheme="minorHAnsi"/>
              </w:rPr>
              <w:t xml:space="preserve"> „Zastupljenost relevantnih autorskih tekstova kreiranih za elektroničku publikaciju“ trebalo bi razjasniti na kakav se razmjer zastupljenosti misli. </w:t>
            </w:r>
          </w:p>
          <w:p w:rsidR="00AD708A" w:rsidRPr="00464664" w:rsidRDefault="00AD708A" w:rsidP="00760099">
            <w:pPr>
              <w:autoSpaceDE w:val="0"/>
              <w:autoSpaceDN w:val="0"/>
              <w:adjustRightInd w:val="0"/>
              <w:spacing w:line="276" w:lineRule="auto"/>
              <w:rPr>
                <w:rFonts w:asciiTheme="minorHAnsi" w:hAnsiTheme="minorHAnsi" w:cstheme="minorHAnsi"/>
              </w:rPr>
            </w:pPr>
            <w:r w:rsidRPr="00464664">
              <w:rPr>
                <w:rFonts w:asciiTheme="minorHAnsi" w:hAnsiTheme="minorHAnsi" w:cstheme="minorHAnsi"/>
              </w:rPr>
              <w:t>Ovu bi čitavu sekciju (Poglavlje 10.) također trebalo iznova promisliti, na razini gore predložene stručne radne grupe.</w:t>
            </w:r>
          </w:p>
          <w:p w:rsidR="00AD708A" w:rsidRPr="00464664" w:rsidRDefault="00AD708A" w:rsidP="00760099">
            <w:pPr>
              <w:autoSpaceDE w:val="0"/>
              <w:autoSpaceDN w:val="0"/>
              <w:adjustRightInd w:val="0"/>
              <w:spacing w:line="276" w:lineRule="auto"/>
              <w:rPr>
                <w:rFonts w:asciiTheme="minorHAnsi" w:hAnsiTheme="minorHAnsi" w:cstheme="minorHAnsi"/>
              </w:rPr>
            </w:pPr>
          </w:p>
          <w:p w:rsidR="00AD708A" w:rsidRPr="00464664" w:rsidRDefault="00AD708A" w:rsidP="00760099">
            <w:pPr>
              <w:autoSpaceDE w:val="0"/>
              <w:autoSpaceDN w:val="0"/>
              <w:adjustRightInd w:val="0"/>
              <w:spacing w:line="276" w:lineRule="auto"/>
              <w:rPr>
                <w:rFonts w:asciiTheme="minorHAnsi" w:hAnsiTheme="minorHAnsi" w:cstheme="minorHAnsi"/>
                <w:b/>
                <w:bCs/>
                <w:u w:val="single"/>
              </w:rPr>
            </w:pPr>
            <w:r w:rsidRPr="00464664">
              <w:rPr>
                <w:rFonts w:asciiTheme="minorHAnsi" w:hAnsiTheme="minorHAnsi" w:cstheme="minorHAnsi"/>
                <w:b/>
                <w:bCs/>
                <w:u w:val="single"/>
              </w:rPr>
              <w:t>11. Odabir korisnika</w:t>
            </w:r>
          </w:p>
          <w:p w:rsidR="00AD708A" w:rsidRPr="00464664" w:rsidRDefault="00AD708A" w:rsidP="00760099">
            <w:pPr>
              <w:autoSpaceDE w:val="0"/>
              <w:autoSpaceDN w:val="0"/>
              <w:adjustRightInd w:val="0"/>
              <w:spacing w:line="276" w:lineRule="auto"/>
              <w:rPr>
                <w:rFonts w:asciiTheme="minorHAnsi" w:hAnsiTheme="minorHAnsi" w:cstheme="minorHAnsi"/>
              </w:rPr>
            </w:pPr>
            <w:r w:rsidRPr="00464664">
              <w:rPr>
                <w:rFonts w:asciiTheme="minorHAnsi" w:hAnsiTheme="minorHAnsi" w:cstheme="minorHAnsi"/>
                <w:b/>
              </w:rPr>
              <w:t>Primjedba 1:</w:t>
            </w:r>
            <w:r w:rsidRPr="00464664">
              <w:rPr>
                <w:rFonts w:asciiTheme="minorHAnsi" w:hAnsiTheme="minorHAnsi" w:cstheme="minorHAnsi"/>
              </w:rPr>
              <w:t xml:space="preserve"> Važno je u Programu potpore naglasiti da je postupak izbora programskih sadržaja </w:t>
            </w:r>
            <w:r w:rsidRPr="00464664">
              <w:rPr>
                <w:rFonts w:asciiTheme="minorHAnsi" w:hAnsiTheme="minorHAnsi" w:cstheme="minorHAnsi"/>
                <w:i/>
              </w:rPr>
              <w:t>javan</w:t>
            </w:r>
            <w:r w:rsidRPr="00464664">
              <w:rPr>
                <w:rFonts w:asciiTheme="minorHAnsi" w:hAnsiTheme="minorHAnsi" w:cstheme="minorHAnsi"/>
              </w:rPr>
              <w:t xml:space="preserve">. Podnositelji prijava moraju biti unaprijed upozoreni da su njihove prijavnice javni dokumenti. Javnost uključuje posebno </w:t>
            </w:r>
            <w:proofErr w:type="spellStart"/>
            <w:r w:rsidRPr="00464664">
              <w:rPr>
                <w:rFonts w:asciiTheme="minorHAnsi" w:hAnsiTheme="minorHAnsi" w:cstheme="minorHAnsi"/>
                <w:i/>
              </w:rPr>
              <w:t>proaktivnu</w:t>
            </w:r>
            <w:proofErr w:type="spellEnd"/>
            <w:r w:rsidRPr="00464664">
              <w:rPr>
                <w:rFonts w:asciiTheme="minorHAnsi" w:hAnsiTheme="minorHAnsi" w:cstheme="minorHAnsi"/>
                <w:i/>
              </w:rPr>
              <w:t xml:space="preserve"> objavu</w:t>
            </w:r>
            <w:r w:rsidRPr="00464664">
              <w:rPr>
                <w:rFonts w:asciiTheme="minorHAnsi" w:hAnsiTheme="minorHAnsi" w:cstheme="minorHAnsi"/>
              </w:rPr>
              <w:t xml:space="preserve">: svih prijava; svih zapisnika sa sjednica Povjerenstva (osim u dijelovima na koje se odnosi čl. 15. ZPPI-ja); bodovnih lista svakog pojedinačnog ocjenjivača za svaki pojedinačni prijedlog programskog sadržaja; predložene zbirne Liste programskih sadržaja za dodjelu potpore male vrijednosti koju je sačinilo Povjerenstvo. Za </w:t>
            </w:r>
            <w:proofErr w:type="spellStart"/>
            <w:r w:rsidRPr="00464664">
              <w:rPr>
                <w:rFonts w:asciiTheme="minorHAnsi" w:hAnsiTheme="minorHAnsi" w:cstheme="minorHAnsi"/>
              </w:rPr>
              <w:t>proaktivnu</w:t>
            </w:r>
            <w:proofErr w:type="spellEnd"/>
            <w:r w:rsidRPr="00464664">
              <w:rPr>
                <w:rFonts w:asciiTheme="minorHAnsi" w:hAnsiTheme="minorHAnsi" w:cstheme="minorHAnsi"/>
              </w:rPr>
              <w:t xml:space="preserve"> objavu gore navedenoga zaduženo je tijelo koje je raspisalo Javni poziv. Ovo je nužno radi podizanja kredibiliteta natječajnog postupka; s obzirom na činjenicu da se radi o javnom pozivu za raspodjelu javnih sredstava, svi zainteresirani građani imaju pravo na informacije o prijavljenim nakladnicima, njihovim prijedlozima programskih sadržaja, načinu rada Povjerenstva, ocjenama Povjerenstva, kao i o razlozima eventualnih odstupanja konačne Gradonačelnikove odluke o financiranju od preporuke / Liste Povjerenstva. Na osnovu petnaestak godina rada na pravu na pristup informacijama, UNMK je uvjerena da važeći propisi daju osnovu za </w:t>
            </w:r>
            <w:proofErr w:type="spellStart"/>
            <w:r w:rsidRPr="00464664">
              <w:rPr>
                <w:rFonts w:asciiTheme="minorHAnsi" w:hAnsiTheme="minorHAnsi" w:cstheme="minorHAnsi"/>
              </w:rPr>
              <w:t>proaktivno</w:t>
            </w:r>
            <w:proofErr w:type="spellEnd"/>
            <w:r w:rsidRPr="00464664">
              <w:rPr>
                <w:rFonts w:asciiTheme="minorHAnsi" w:hAnsiTheme="minorHAnsi" w:cstheme="minorHAnsi"/>
              </w:rPr>
              <w:t xml:space="preserve"> objavljivanje navedenih podataka bez posebnih podnošenja zahtjeva u smislu čl. 18. ZPPI-ja. Pritom, preporuka </w:t>
            </w:r>
            <w:r w:rsidRPr="00464664">
              <w:rPr>
                <w:rFonts w:asciiTheme="minorHAnsi" w:hAnsiTheme="minorHAnsi" w:cstheme="minorHAnsi"/>
              </w:rPr>
              <w:lastRenderedPageBreak/>
              <w:t>Povjerenika za informiranje jest da identitet članova Povjerenstva bude otkriven tek po završetku ocjenjivačkog procesa.</w:t>
            </w:r>
          </w:p>
          <w:p w:rsidR="00AD708A" w:rsidRPr="00464664" w:rsidRDefault="00AD708A" w:rsidP="00760099">
            <w:pPr>
              <w:spacing w:line="276" w:lineRule="auto"/>
              <w:rPr>
                <w:rFonts w:asciiTheme="minorHAnsi" w:hAnsiTheme="minorHAnsi" w:cstheme="minorHAnsi"/>
                <w:b/>
              </w:rPr>
            </w:pPr>
          </w:p>
          <w:p w:rsidR="00AD708A" w:rsidRPr="00464664" w:rsidRDefault="00AD708A" w:rsidP="00760099">
            <w:pPr>
              <w:spacing w:line="276" w:lineRule="auto"/>
              <w:rPr>
                <w:rFonts w:asciiTheme="minorHAnsi" w:hAnsiTheme="minorHAnsi" w:cstheme="minorHAnsi"/>
              </w:rPr>
            </w:pPr>
            <w:r w:rsidRPr="00464664">
              <w:rPr>
                <w:rFonts w:asciiTheme="minorHAnsi" w:hAnsiTheme="minorHAnsi" w:cstheme="minorHAnsi"/>
                <w:b/>
              </w:rPr>
              <w:t>Primjedba 2:</w:t>
            </w:r>
            <w:r w:rsidRPr="00464664">
              <w:rPr>
                <w:rFonts w:asciiTheme="minorHAnsi" w:hAnsiTheme="minorHAnsi" w:cstheme="minorHAnsi"/>
              </w:rPr>
              <w:t xml:space="preserve"> Povjerenstvo bi trebalo donijeti Poslovnik o vlastitom radu. Poslovnik o radu također mora biti javni dokument. (Prilažemo Poslovnik o radu Stručnog povjerenstva za neprofitne medije pri Ministarstvu kulture: (</w:t>
            </w:r>
            <w:hyperlink r:id="rId8" w:history="1">
              <w:r w:rsidRPr="00464664">
                <w:rPr>
                  <w:rStyle w:val="Hiperveza"/>
                  <w:rFonts w:asciiTheme="minorHAnsi" w:hAnsiTheme="minorHAnsi" w:cstheme="minorHAnsi"/>
                </w:rPr>
                <w:t>https://min-kulture.gov.hr/print.aspx?id=12311&amp;url=print</w:t>
              </w:r>
            </w:hyperlink>
            <w:r w:rsidRPr="00464664">
              <w:rPr>
                <w:rFonts w:asciiTheme="minorHAnsi" w:hAnsiTheme="minorHAnsi" w:cstheme="minorHAnsi"/>
              </w:rPr>
              <w:t xml:space="preserve">) </w:t>
            </w:r>
          </w:p>
          <w:p w:rsidR="00AD708A" w:rsidRPr="00464664" w:rsidRDefault="00AD708A" w:rsidP="00760099">
            <w:pPr>
              <w:autoSpaceDE w:val="0"/>
              <w:autoSpaceDN w:val="0"/>
              <w:adjustRightInd w:val="0"/>
              <w:spacing w:line="276" w:lineRule="auto"/>
              <w:rPr>
                <w:rFonts w:asciiTheme="minorHAnsi" w:hAnsiTheme="minorHAnsi" w:cstheme="minorHAnsi"/>
              </w:rPr>
            </w:pPr>
            <w:r w:rsidRPr="00464664">
              <w:rPr>
                <w:rFonts w:asciiTheme="minorHAnsi" w:hAnsiTheme="minorHAnsi" w:cstheme="minorHAnsi"/>
              </w:rPr>
              <w:t>Poslovnik o radu trebao bi, između ostaloga, razraditi sukob interesa bolje nego što je napravljeno u točki 11. predloženoga Programa. Npr. predstavlja li članstvo u udruzi koja je registrirana kao nakladnik neprofitnog medija sukob interesa? Predstavlja li sukob interesa radni status člana/</w:t>
            </w:r>
            <w:proofErr w:type="spellStart"/>
            <w:r w:rsidRPr="00464664">
              <w:rPr>
                <w:rFonts w:asciiTheme="minorHAnsi" w:hAnsiTheme="minorHAnsi" w:cstheme="minorHAnsi"/>
              </w:rPr>
              <w:t>ice</w:t>
            </w:r>
            <w:proofErr w:type="spellEnd"/>
            <w:r w:rsidRPr="00464664">
              <w:rPr>
                <w:rFonts w:asciiTheme="minorHAnsi" w:hAnsiTheme="minorHAnsi" w:cstheme="minorHAnsi"/>
              </w:rPr>
              <w:t xml:space="preserve"> Povjerenstva u nekom nakladniku elektroničke publikacije, ili aktualna honorarna suradnja, ili honorarna suradnja do unatrag godinu, dvije ili pet godina, ili suradnja pro </w:t>
            </w:r>
            <w:proofErr w:type="spellStart"/>
            <w:r w:rsidRPr="00464664">
              <w:rPr>
                <w:rFonts w:asciiTheme="minorHAnsi" w:hAnsiTheme="minorHAnsi" w:cstheme="minorHAnsi"/>
              </w:rPr>
              <w:t>bono</w:t>
            </w:r>
            <w:proofErr w:type="spellEnd"/>
            <w:r w:rsidRPr="00464664">
              <w:rPr>
                <w:rFonts w:asciiTheme="minorHAnsi" w:hAnsiTheme="minorHAnsi" w:cstheme="minorHAnsi"/>
              </w:rPr>
              <w:t xml:space="preserve">? </w:t>
            </w:r>
          </w:p>
          <w:p w:rsidR="00AD708A" w:rsidRPr="00464664" w:rsidRDefault="00AD708A" w:rsidP="00760099">
            <w:pPr>
              <w:autoSpaceDE w:val="0"/>
              <w:autoSpaceDN w:val="0"/>
              <w:adjustRightInd w:val="0"/>
              <w:spacing w:line="276" w:lineRule="auto"/>
              <w:rPr>
                <w:rFonts w:asciiTheme="minorHAnsi" w:hAnsiTheme="minorHAnsi" w:cstheme="minorHAnsi"/>
              </w:rPr>
            </w:pPr>
          </w:p>
          <w:p w:rsidR="00AD708A" w:rsidRPr="00464664" w:rsidRDefault="00AD708A" w:rsidP="00760099">
            <w:pPr>
              <w:autoSpaceDE w:val="0"/>
              <w:autoSpaceDN w:val="0"/>
              <w:adjustRightInd w:val="0"/>
              <w:spacing w:line="276" w:lineRule="auto"/>
              <w:rPr>
                <w:rFonts w:asciiTheme="minorHAnsi" w:hAnsiTheme="minorHAnsi" w:cstheme="minorHAnsi"/>
              </w:rPr>
            </w:pPr>
          </w:p>
          <w:p w:rsidR="00AD708A" w:rsidRPr="00464664" w:rsidRDefault="00AD708A" w:rsidP="00760099">
            <w:pPr>
              <w:autoSpaceDE w:val="0"/>
              <w:autoSpaceDN w:val="0"/>
              <w:adjustRightInd w:val="0"/>
              <w:spacing w:line="276" w:lineRule="auto"/>
              <w:rPr>
                <w:rFonts w:asciiTheme="minorHAnsi" w:hAnsiTheme="minorHAnsi" w:cstheme="minorHAnsi"/>
                <w:b/>
                <w:bCs/>
                <w:u w:val="single"/>
              </w:rPr>
            </w:pPr>
            <w:r w:rsidRPr="00464664">
              <w:rPr>
                <w:rFonts w:asciiTheme="minorHAnsi" w:hAnsiTheme="minorHAnsi" w:cstheme="minorHAnsi"/>
                <w:b/>
                <w:bCs/>
                <w:u w:val="single"/>
              </w:rPr>
              <w:t>12. Pravo prigovora</w:t>
            </w:r>
          </w:p>
          <w:p w:rsidR="00AD708A" w:rsidRPr="00464664" w:rsidRDefault="00AD708A" w:rsidP="00760099">
            <w:pPr>
              <w:autoSpaceDE w:val="0"/>
              <w:autoSpaceDN w:val="0"/>
              <w:adjustRightInd w:val="0"/>
              <w:spacing w:line="276" w:lineRule="auto"/>
              <w:rPr>
                <w:rFonts w:asciiTheme="minorHAnsi" w:hAnsiTheme="minorHAnsi" w:cstheme="minorHAnsi"/>
                <w:bCs/>
                <w:iCs/>
              </w:rPr>
            </w:pPr>
          </w:p>
          <w:p w:rsidR="00AD708A" w:rsidRPr="00464664" w:rsidRDefault="00AD708A" w:rsidP="00760099">
            <w:pPr>
              <w:autoSpaceDE w:val="0"/>
              <w:autoSpaceDN w:val="0"/>
              <w:adjustRightInd w:val="0"/>
              <w:spacing w:line="276" w:lineRule="auto"/>
              <w:rPr>
                <w:rFonts w:asciiTheme="minorHAnsi" w:hAnsiTheme="minorHAnsi" w:cstheme="minorHAnsi"/>
              </w:rPr>
            </w:pPr>
            <w:r w:rsidRPr="00464664">
              <w:rPr>
                <w:rFonts w:asciiTheme="minorHAnsi" w:hAnsiTheme="minorHAnsi" w:cstheme="minorHAnsi"/>
              </w:rPr>
              <w:t>„Nakladnik koji je sudjelovao u javnom pozivu za dodjelu potpore male vrijednosti može podnijeti prigovor na zaključak o odabiru korisnika potpore male vrijednosti.</w:t>
            </w:r>
          </w:p>
          <w:p w:rsidR="00AD708A" w:rsidRPr="00464664" w:rsidRDefault="00AD708A" w:rsidP="00760099">
            <w:pPr>
              <w:autoSpaceDE w:val="0"/>
              <w:autoSpaceDN w:val="0"/>
              <w:adjustRightInd w:val="0"/>
              <w:spacing w:line="276" w:lineRule="auto"/>
              <w:rPr>
                <w:rFonts w:asciiTheme="minorHAnsi" w:hAnsiTheme="minorHAnsi" w:cstheme="minorHAnsi"/>
              </w:rPr>
            </w:pPr>
            <w:r w:rsidRPr="00464664">
              <w:rPr>
                <w:rFonts w:asciiTheme="minorHAnsi" w:hAnsiTheme="minorHAnsi" w:cstheme="minorHAnsi"/>
              </w:rPr>
              <w:t>Prigovor se podnosi gradonačelniku Grada Zagreba putem Gradskog ureda za kulturu i civilno društvo u roku od osam (8) dana od dana objave zaključka o odabiru korisnika potpore male vrijednosti.“</w:t>
            </w:r>
          </w:p>
          <w:p w:rsidR="00AD708A" w:rsidRPr="00464664" w:rsidRDefault="00AD708A" w:rsidP="00760099">
            <w:pPr>
              <w:autoSpaceDE w:val="0"/>
              <w:autoSpaceDN w:val="0"/>
              <w:adjustRightInd w:val="0"/>
              <w:spacing w:line="276" w:lineRule="auto"/>
              <w:ind w:firstLine="709"/>
              <w:rPr>
                <w:rFonts w:asciiTheme="minorHAnsi" w:hAnsiTheme="minorHAnsi" w:cstheme="minorHAnsi"/>
              </w:rPr>
            </w:pPr>
          </w:p>
          <w:p w:rsidR="00AD708A" w:rsidRPr="00464664" w:rsidRDefault="00AD708A" w:rsidP="00760099">
            <w:pPr>
              <w:autoSpaceDE w:val="0"/>
              <w:autoSpaceDN w:val="0"/>
              <w:adjustRightInd w:val="0"/>
              <w:spacing w:line="276" w:lineRule="auto"/>
              <w:rPr>
                <w:rFonts w:asciiTheme="minorHAnsi" w:hAnsiTheme="minorHAnsi" w:cstheme="minorHAnsi"/>
              </w:rPr>
            </w:pPr>
            <w:r w:rsidRPr="00464664">
              <w:rPr>
                <w:rFonts w:asciiTheme="minorHAnsi" w:hAnsiTheme="minorHAnsi" w:cstheme="minorHAnsi"/>
                <w:b/>
              </w:rPr>
              <w:t>Primjedba 1:</w:t>
            </w:r>
            <w:r w:rsidRPr="00464664">
              <w:rPr>
                <w:rFonts w:asciiTheme="minorHAnsi" w:hAnsiTheme="minorHAnsi" w:cstheme="minorHAnsi"/>
              </w:rPr>
              <w:t xml:space="preserve"> Smatramo nužnim da navedeno dopunite sljedećim: „....u roku od osam (8) dana od dana objave zaključka o odabiru korisnika potpore male vrijednosti </w:t>
            </w:r>
            <w:r w:rsidRPr="00464664">
              <w:rPr>
                <w:rFonts w:asciiTheme="minorHAnsi" w:hAnsiTheme="minorHAnsi" w:cstheme="minorHAnsi"/>
                <w:i/>
              </w:rPr>
              <w:t xml:space="preserve">i sljedeće dokumentacije: svih pristiglih prijava; zapisnika sa sjednica Povjerenstva (osim u dijelovima na koje se odnosi čl. 15. ZPPI-ja); javnu dostupnost bodovnih lista, odnosno predložene Liste programskih sadržaja za dodjelu potpore male vrijednosti </w:t>
            </w:r>
            <w:r w:rsidRPr="00464664">
              <w:rPr>
                <w:rFonts w:asciiTheme="minorHAnsi" w:hAnsiTheme="minorHAnsi" w:cstheme="minorHAnsi"/>
                <w:i/>
              </w:rPr>
              <w:lastRenderedPageBreak/>
              <w:t>koju je sačinilo Povjerenstvo; obrazloženja konačne Gradonačelnikove odluke o potporama, ako se razlikuje od gore navedene Liste programskih sadržaja</w:t>
            </w:r>
            <w:r w:rsidRPr="00464664">
              <w:rPr>
                <w:rFonts w:asciiTheme="minorHAnsi" w:hAnsiTheme="minorHAnsi" w:cstheme="minorHAnsi"/>
              </w:rPr>
              <w:t xml:space="preserve">“. </w:t>
            </w:r>
          </w:p>
          <w:p w:rsidR="00AD708A" w:rsidRPr="00464664" w:rsidRDefault="00AD708A" w:rsidP="00760099">
            <w:pPr>
              <w:autoSpaceDE w:val="0"/>
              <w:autoSpaceDN w:val="0"/>
              <w:adjustRightInd w:val="0"/>
              <w:spacing w:line="276" w:lineRule="auto"/>
              <w:rPr>
                <w:rFonts w:asciiTheme="minorHAnsi" w:hAnsiTheme="minorHAnsi" w:cstheme="minorHAnsi"/>
              </w:rPr>
            </w:pPr>
            <w:r w:rsidRPr="00464664">
              <w:rPr>
                <w:rFonts w:asciiTheme="minorHAnsi" w:hAnsiTheme="minorHAnsi" w:cstheme="minorHAnsi"/>
              </w:rPr>
              <w:t xml:space="preserve">Naime, naše iskustvo pokazuje da se bitne greške na javnim pozivima i natječajima ponekad dešavaju u sferi koja je javno gotovo nepristupačna i na koje je greške kasnije, ako ipak dođu do uvida javnosti, nemoguće reagirati. </w:t>
            </w:r>
            <w:proofErr w:type="spellStart"/>
            <w:r w:rsidRPr="00464664">
              <w:rPr>
                <w:rFonts w:asciiTheme="minorHAnsi" w:hAnsiTheme="minorHAnsi" w:cstheme="minorHAnsi"/>
              </w:rPr>
              <w:t>Npr</w:t>
            </w:r>
            <w:proofErr w:type="spellEnd"/>
            <w:r w:rsidRPr="00464664">
              <w:rPr>
                <w:rFonts w:asciiTheme="minorHAnsi" w:hAnsiTheme="minorHAnsi" w:cstheme="minorHAnsi"/>
              </w:rPr>
              <w:t xml:space="preserve">, u našim novinarskim istraživanjima susretali smo se sa slučajevima pogrešnog zbrajanja bodova, pogrešnog i neujednačenog tumačenja propisanog načina bodovanja, izrazitog i neobjašnjenog iskakanja ocjena pojedinih ocjenjivača u odnosu na prosjek dobivenih ocjena nekog projektnog prijedloga, izuzetno problematične narativne ocjene i argumentacije bodovanja... Ocjenjujemo da su takve greške u nekim slučajevima i posljedica osjećaja komocije članova natječajnih povjerenstava i sličnih komisija, kao i administrativnog osoblja, uvjerenih u zaštitu od očiju javnosti. Takve greške, ako do njih dođe, mogu presudno utjecati na rezultat pojedinih prijedloga medijskih sadržaja, a prigovor na njih nemoguće je uputiti u roku od 8 dana ako navedeni podaci nisu </w:t>
            </w:r>
            <w:proofErr w:type="spellStart"/>
            <w:r w:rsidRPr="00464664">
              <w:rPr>
                <w:rFonts w:asciiTheme="minorHAnsi" w:hAnsiTheme="minorHAnsi" w:cstheme="minorHAnsi"/>
              </w:rPr>
              <w:t>proaktivno</w:t>
            </w:r>
            <w:proofErr w:type="spellEnd"/>
            <w:r w:rsidRPr="00464664">
              <w:rPr>
                <w:rFonts w:asciiTheme="minorHAnsi" w:hAnsiTheme="minorHAnsi" w:cstheme="minorHAnsi"/>
              </w:rPr>
              <w:t xml:space="preserve"> objavljeni od strane tijela koje je raspisalo javni poziv.</w:t>
            </w:r>
          </w:p>
          <w:p w:rsidR="00AD708A" w:rsidRPr="00464664" w:rsidRDefault="00AD708A" w:rsidP="00760099">
            <w:pPr>
              <w:rPr>
                <w:rFonts w:asciiTheme="minorHAnsi" w:hAnsiTheme="minorHAnsi" w:cstheme="minorHAnsi"/>
              </w:rPr>
            </w:pPr>
          </w:p>
          <w:p w:rsidR="00AD708A" w:rsidRPr="00464664" w:rsidRDefault="00AD708A" w:rsidP="00760099">
            <w:pPr>
              <w:rPr>
                <w:rFonts w:asciiTheme="minorHAnsi" w:hAnsiTheme="minorHAnsi" w:cstheme="minorHAnsi"/>
              </w:rPr>
            </w:pPr>
          </w:p>
        </w:tc>
        <w:tc>
          <w:tcPr>
            <w:tcW w:w="5635" w:type="dxa"/>
          </w:tcPr>
          <w:p w:rsidR="00AD708A" w:rsidRPr="00464664" w:rsidRDefault="00AD708A" w:rsidP="00760099">
            <w:pPr>
              <w:pStyle w:val="Tekstkomentara"/>
              <w:rPr>
                <w:rFonts w:asciiTheme="minorHAnsi" w:hAnsiTheme="minorHAnsi" w:cstheme="minorHAnsi"/>
                <w:sz w:val="22"/>
                <w:szCs w:val="22"/>
              </w:rPr>
            </w:pPr>
          </w:p>
          <w:p w:rsidR="00AD708A" w:rsidRPr="00464664" w:rsidRDefault="00AD708A" w:rsidP="00760099">
            <w:pPr>
              <w:pStyle w:val="Tekstkomentara"/>
              <w:rPr>
                <w:rFonts w:asciiTheme="minorHAnsi" w:hAnsiTheme="minorHAnsi" w:cstheme="minorHAnsi"/>
                <w:sz w:val="22"/>
                <w:szCs w:val="22"/>
              </w:rPr>
            </w:pPr>
          </w:p>
          <w:p w:rsidR="00AD708A" w:rsidRPr="00464664" w:rsidRDefault="00AD708A" w:rsidP="00760099">
            <w:pPr>
              <w:pStyle w:val="Tekstkomentara"/>
              <w:rPr>
                <w:rFonts w:asciiTheme="minorHAnsi" w:hAnsiTheme="minorHAnsi" w:cstheme="minorHAnsi"/>
                <w:color w:val="FF0000"/>
                <w:sz w:val="22"/>
                <w:szCs w:val="22"/>
              </w:rPr>
            </w:pPr>
          </w:p>
          <w:p w:rsidR="00AD708A" w:rsidRDefault="00AD708A" w:rsidP="00760099">
            <w:pPr>
              <w:rPr>
                <w:rFonts w:asciiTheme="minorHAnsi" w:hAnsiTheme="minorHAnsi" w:cstheme="minorHAnsi"/>
              </w:rPr>
            </w:pPr>
          </w:p>
          <w:p w:rsidR="00AD708A" w:rsidRPr="00464664" w:rsidRDefault="00AD708A" w:rsidP="00760099">
            <w:pPr>
              <w:rPr>
                <w:rFonts w:asciiTheme="minorHAnsi" w:hAnsiTheme="minorHAnsi" w:cstheme="minorHAnsi"/>
              </w:rPr>
            </w:pPr>
            <w:r w:rsidRPr="00464664">
              <w:rPr>
                <w:rFonts w:asciiTheme="minorHAnsi" w:hAnsiTheme="minorHAnsi" w:cstheme="minorHAnsi"/>
              </w:rPr>
              <w:t>Komentar je načelan i ne odnosi se na tekst Programa</w:t>
            </w:r>
          </w:p>
          <w:p w:rsidR="00AD708A" w:rsidRPr="00464664" w:rsidRDefault="00AD708A" w:rsidP="00760099">
            <w:pPr>
              <w:pStyle w:val="Tekstkomentara"/>
              <w:rPr>
                <w:rFonts w:asciiTheme="minorHAnsi" w:hAnsiTheme="minorHAnsi" w:cstheme="minorHAnsi"/>
                <w:sz w:val="22"/>
                <w:szCs w:val="22"/>
              </w:rPr>
            </w:pPr>
          </w:p>
          <w:p w:rsidR="00AD708A" w:rsidRPr="00464664" w:rsidRDefault="00AD708A" w:rsidP="00760099">
            <w:pPr>
              <w:pStyle w:val="Tekstkomentara"/>
              <w:rPr>
                <w:rFonts w:asciiTheme="minorHAnsi" w:hAnsiTheme="minorHAnsi" w:cstheme="minorHAnsi"/>
                <w:sz w:val="22"/>
                <w:szCs w:val="22"/>
              </w:rPr>
            </w:pPr>
          </w:p>
          <w:p w:rsidR="00AD708A" w:rsidRPr="00464664" w:rsidRDefault="00AD708A" w:rsidP="00760099">
            <w:pPr>
              <w:pStyle w:val="Tekstkomentara"/>
              <w:rPr>
                <w:rFonts w:asciiTheme="minorHAnsi" w:hAnsiTheme="minorHAnsi" w:cstheme="minorHAnsi"/>
                <w:sz w:val="22"/>
                <w:szCs w:val="22"/>
              </w:rPr>
            </w:pPr>
          </w:p>
          <w:p w:rsidR="00AD708A" w:rsidRPr="00464664" w:rsidRDefault="00AD708A" w:rsidP="00760099">
            <w:pPr>
              <w:pStyle w:val="Tekstkomentara"/>
              <w:rPr>
                <w:rFonts w:asciiTheme="minorHAnsi" w:hAnsiTheme="minorHAnsi" w:cstheme="minorHAnsi"/>
                <w:sz w:val="22"/>
                <w:szCs w:val="22"/>
              </w:rPr>
            </w:pPr>
          </w:p>
          <w:p w:rsidR="00AD708A" w:rsidRPr="00464664" w:rsidRDefault="00AD708A" w:rsidP="00760099">
            <w:pPr>
              <w:pStyle w:val="Tekstkomentara"/>
              <w:rPr>
                <w:rFonts w:asciiTheme="minorHAnsi" w:hAnsiTheme="minorHAnsi" w:cstheme="minorHAnsi"/>
                <w:sz w:val="22"/>
                <w:szCs w:val="22"/>
              </w:rPr>
            </w:pPr>
          </w:p>
          <w:p w:rsidR="00AD708A" w:rsidRPr="00464664" w:rsidRDefault="00AD708A" w:rsidP="00760099">
            <w:pPr>
              <w:pStyle w:val="Tekstkomentara"/>
              <w:rPr>
                <w:rFonts w:asciiTheme="minorHAnsi" w:hAnsiTheme="minorHAnsi" w:cstheme="minorHAnsi"/>
                <w:sz w:val="22"/>
                <w:szCs w:val="22"/>
              </w:rPr>
            </w:pPr>
          </w:p>
          <w:p w:rsidR="00AD708A" w:rsidRPr="00464664" w:rsidRDefault="00AD708A" w:rsidP="00760099">
            <w:pPr>
              <w:pStyle w:val="Tekstkomentara"/>
              <w:rPr>
                <w:rFonts w:asciiTheme="minorHAnsi" w:hAnsiTheme="minorHAnsi" w:cstheme="minorHAnsi"/>
                <w:sz w:val="22"/>
                <w:szCs w:val="22"/>
              </w:rPr>
            </w:pPr>
          </w:p>
          <w:p w:rsidR="00AD708A" w:rsidRPr="00464664" w:rsidRDefault="00AD708A" w:rsidP="00760099">
            <w:pPr>
              <w:pStyle w:val="Tekstkomentara"/>
              <w:rPr>
                <w:rFonts w:asciiTheme="minorHAnsi" w:hAnsiTheme="minorHAnsi" w:cstheme="minorHAnsi"/>
                <w:sz w:val="22"/>
                <w:szCs w:val="22"/>
              </w:rPr>
            </w:pPr>
          </w:p>
          <w:p w:rsidR="00AD708A" w:rsidRPr="00464664" w:rsidRDefault="00AD708A" w:rsidP="00760099">
            <w:pPr>
              <w:pStyle w:val="Tekstkomentara"/>
              <w:rPr>
                <w:rFonts w:asciiTheme="minorHAnsi" w:hAnsiTheme="minorHAnsi" w:cstheme="minorHAnsi"/>
                <w:sz w:val="22"/>
                <w:szCs w:val="22"/>
              </w:rPr>
            </w:pPr>
          </w:p>
          <w:p w:rsidR="00AD708A" w:rsidRPr="00464664"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Pr="00464664" w:rsidRDefault="00AD708A" w:rsidP="00760099">
            <w:pPr>
              <w:pStyle w:val="Tekstkomentara"/>
              <w:rPr>
                <w:rFonts w:asciiTheme="minorHAnsi" w:hAnsiTheme="minorHAnsi" w:cstheme="minorHAnsi"/>
                <w:sz w:val="22"/>
                <w:szCs w:val="22"/>
              </w:rPr>
            </w:pPr>
            <w:r w:rsidRPr="00464664">
              <w:rPr>
                <w:rFonts w:asciiTheme="minorHAnsi" w:hAnsiTheme="minorHAnsi" w:cstheme="minorHAnsi"/>
                <w:sz w:val="22"/>
                <w:szCs w:val="22"/>
              </w:rPr>
              <w:t>Komentar je načelan i nema konkretnih primjedbi i prijedloga</w:t>
            </w:r>
          </w:p>
          <w:p w:rsidR="00AD708A" w:rsidRPr="00464664" w:rsidRDefault="00AD708A" w:rsidP="00760099">
            <w:pPr>
              <w:pStyle w:val="Tekstkomentara"/>
              <w:rPr>
                <w:rFonts w:asciiTheme="minorHAnsi" w:hAnsiTheme="minorHAnsi" w:cstheme="minorHAnsi"/>
                <w:sz w:val="22"/>
                <w:szCs w:val="22"/>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pStyle w:val="Tekstkomentara"/>
              <w:rPr>
                <w:rFonts w:asciiTheme="minorHAnsi" w:hAnsiTheme="minorHAnsi" w:cstheme="minorHAnsi"/>
                <w:sz w:val="22"/>
                <w:szCs w:val="22"/>
              </w:rPr>
            </w:pPr>
            <w:r w:rsidRPr="00464664">
              <w:rPr>
                <w:rFonts w:asciiTheme="minorHAnsi" w:hAnsiTheme="minorHAnsi" w:cstheme="minorHAnsi"/>
                <w:sz w:val="22"/>
                <w:szCs w:val="22"/>
              </w:rPr>
              <w:t>Komentar je načelan i nema konkretnih primjedbi i prijedloga</w:t>
            </w: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Default="00AD708A" w:rsidP="00760099">
            <w:pPr>
              <w:pStyle w:val="Tekstkomentara"/>
              <w:rPr>
                <w:rFonts w:asciiTheme="minorHAnsi" w:eastAsia="Calibri" w:hAnsiTheme="minorHAnsi" w:cstheme="minorHAnsi"/>
                <w:color w:val="000000"/>
                <w:sz w:val="22"/>
                <w:szCs w:val="22"/>
              </w:rPr>
            </w:pPr>
          </w:p>
          <w:p w:rsidR="00AD708A" w:rsidRPr="00464664" w:rsidRDefault="00AD708A" w:rsidP="00760099">
            <w:pPr>
              <w:pStyle w:val="Tekstkomentara"/>
              <w:rPr>
                <w:rFonts w:asciiTheme="minorHAnsi" w:hAnsiTheme="minorHAnsi" w:cstheme="minorHAnsi"/>
                <w:sz w:val="22"/>
                <w:szCs w:val="22"/>
              </w:rPr>
            </w:pPr>
            <w:r w:rsidRPr="00464664">
              <w:rPr>
                <w:rFonts w:asciiTheme="minorHAnsi" w:hAnsiTheme="minorHAnsi" w:cstheme="minorHAnsi"/>
                <w:sz w:val="22"/>
                <w:szCs w:val="22"/>
              </w:rPr>
              <w:t>Komentar je načelan i ne odnosi se na tekst Programa</w:t>
            </w: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pStyle w:val="Tekstkomentara"/>
              <w:rPr>
                <w:rFonts w:asciiTheme="minorHAnsi" w:hAnsiTheme="minorHAnsi" w:cstheme="minorHAnsi"/>
                <w:sz w:val="22"/>
                <w:szCs w:val="22"/>
              </w:rPr>
            </w:pPr>
            <w:r w:rsidRPr="00464664">
              <w:rPr>
                <w:rFonts w:asciiTheme="minorHAnsi" w:hAnsiTheme="minorHAnsi" w:cstheme="minorHAnsi"/>
                <w:sz w:val="22"/>
                <w:szCs w:val="22"/>
              </w:rPr>
              <w:t>Komentar je načelan i nema konkretnih primjedbi i prijedloga</w:t>
            </w:r>
          </w:p>
          <w:p w:rsidR="00AD708A" w:rsidRPr="00464664" w:rsidRDefault="00AD708A" w:rsidP="00760099">
            <w:pPr>
              <w:pStyle w:val="Tekstkomentara"/>
              <w:rPr>
                <w:rFonts w:asciiTheme="minorHAnsi" w:hAnsiTheme="minorHAnsi" w:cstheme="minorHAnsi"/>
                <w:sz w:val="22"/>
                <w:szCs w:val="22"/>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pStyle w:val="Tekstkomentara"/>
              <w:rPr>
                <w:rFonts w:asciiTheme="minorHAnsi" w:hAnsiTheme="minorHAnsi" w:cstheme="minorHAnsi"/>
                <w:sz w:val="22"/>
                <w:szCs w:val="22"/>
              </w:rPr>
            </w:pPr>
            <w:r w:rsidRPr="00464664">
              <w:rPr>
                <w:rFonts w:asciiTheme="minorHAnsi" w:hAnsiTheme="minorHAnsi" w:cstheme="minorHAnsi"/>
                <w:sz w:val="22"/>
                <w:szCs w:val="22"/>
              </w:rPr>
              <w:t>Savjetovanje s javnošću provedeno je sukladno članku 11. stavku 1. Zakona o pravu na pristup informacijama (NN 25/13, 85/15, 69/22).</w:t>
            </w:r>
          </w:p>
          <w:p w:rsidR="00AD708A" w:rsidRPr="00464664" w:rsidRDefault="00AD708A" w:rsidP="00760099">
            <w:pPr>
              <w:jc w:val="both"/>
              <w:rPr>
                <w:rFonts w:asciiTheme="minorHAnsi" w:hAnsiTheme="minorHAnsi" w:cstheme="minorHAnsi"/>
                <w:color w:val="FF0000"/>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r w:rsidRPr="00464664">
              <w:rPr>
                <w:rFonts w:asciiTheme="minorHAnsi" w:hAnsiTheme="minorHAnsi" w:cstheme="minorHAnsi"/>
              </w:rPr>
              <w:t>Komentar je načelan i nema konkretnih primjedbi i prijedloga</w:t>
            </w: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Default="00AD708A" w:rsidP="00760099">
            <w:pPr>
              <w:jc w:val="both"/>
              <w:rPr>
                <w:rFonts w:asciiTheme="minorHAnsi" w:hAnsiTheme="minorHAnsi" w:cstheme="minorHAnsi"/>
                <w:lang w:eastAsia="en-US"/>
              </w:rPr>
            </w:pPr>
          </w:p>
          <w:p w:rsidR="00AD708A" w:rsidRDefault="00AD708A" w:rsidP="00760099">
            <w:pPr>
              <w:jc w:val="both"/>
              <w:rPr>
                <w:rFonts w:asciiTheme="minorHAnsi" w:hAnsiTheme="minorHAnsi" w:cstheme="minorHAnsi"/>
                <w:lang w:eastAsia="en-US"/>
              </w:rPr>
            </w:pPr>
          </w:p>
          <w:p w:rsidR="00AD708A" w:rsidRDefault="00AD708A" w:rsidP="00760099">
            <w:pPr>
              <w:jc w:val="both"/>
              <w:rPr>
                <w:rFonts w:asciiTheme="minorHAnsi" w:hAnsiTheme="minorHAnsi" w:cstheme="minorHAnsi"/>
                <w:lang w:eastAsia="en-US"/>
              </w:rPr>
            </w:pPr>
          </w:p>
          <w:p w:rsidR="00AD708A" w:rsidRDefault="00AD708A" w:rsidP="00760099">
            <w:pPr>
              <w:jc w:val="both"/>
              <w:rPr>
                <w:rFonts w:asciiTheme="minorHAnsi" w:hAnsiTheme="minorHAnsi" w:cstheme="minorHAnsi"/>
                <w:lang w:eastAsia="en-US"/>
              </w:rPr>
            </w:pPr>
          </w:p>
          <w:p w:rsidR="00AD708A" w:rsidRDefault="00AD708A" w:rsidP="00760099">
            <w:pPr>
              <w:jc w:val="both"/>
              <w:rPr>
                <w:rFonts w:asciiTheme="minorHAnsi" w:hAnsiTheme="minorHAnsi" w:cstheme="minorHAnsi"/>
                <w:lang w:eastAsia="en-US"/>
              </w:rPr>
            </w:pPr>
          </w:p>
          <w:p w:rsidR="00AD708A" w:rsidRDefault="00AD708A" w:rsidP="00760099">
            <w:pPr>
              <w:jc w:val="both"/>
              <w:rPr>
                <w:rFonts w:asciiTheme="minorHAnsi" w:hAnsiTheme="minorHAnsi" w:cstheme="minorHAnsi"/>
                <w:lang w:eastAsia="en-US"/>
              </w:rPr>
            </w:pPr>
          </w:p>
          <w:p w:rsidR="00AD708A" w:rsidRPr="00464664" w:rsidRDefault="00AD708A" w:rsidP="00760099">
            <w:pPr>
              <w:jc w:val="both"/>
              <w:rPr>
                <w:rFonts w:asciiTheme="minorHAnsi" w:hAnsiTheme="minorHAnsi" w:cstheme="minorHAnsi"/>
              </w:rPr>
            </w:pPr>
            <w:r>
              <w:rPr>
                <w:rFonts w:asciiTheme="minorHAnsi" w:hAnsiTheme="minorHAnsi" w:cstheme="minorHAnsi"/>
                <w:lang w:eastAsia="en-US"/>
              </w:rPr>
              <w:t>Primjedba prihvaćena</w:t>
            </w: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Default="00AD708A" w:rsidP="00760099">
            <w:pPr>
              <w:jc w:val="both"/>
              <w:rPr>
                <w:rFonts w:asciiTheme="minorHAnsi" w:hAnsiTheme="minorHAnsi" w:cstheme="minorHAnsi"/>
              </w:rPr>
            </w:pPr>
            <w:r>
              <w:rPr>
                <w:rFonts w:asciiTheme="minorHAnsi" w:hAnsiTheme="minorHAnsi" w:cstheme="minorHAnsi"/>
              </w:rPr>
              <w:lastRenderedPageBreak/>
              <w:t xml:space="preserve">Primjedba nije prihvaćena. </w:t>
            </w:r>
          </w:p>
          <w:p w:rsidR="00AD708A" w:rsidRPr="00464664" w:rsidRDefault="00AD708A" w:rsidP="00760099">
            <w:pPr>
              <w:jc w:val="both"/>
              <w:rPr>
                <w:rFonts w:asciiTheme="minorHAnsi" w:hAnsiTheme="minorHAnsi" w:cstheme="minorHAnsi"/>
              </w:rPr>
            </w:pPr>
            <w:r>
              <w:rPr>
                <w:rFonts w:asciiTheme="minorHAnsi" w:hAnsiTheme="minorHAnsi" w:cstheme="minorHAnsi"/>
              </w:rPr>
              <w:t xml:space="preserve">Grad Zagreb kao davatelj potpore samostalno određuje korisnike potpore. </w:t>
            </w: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pStyle w:val="Tekstkomentara"/>
              <w:rPr>
                <w:rFonts w:asciiTheme="minorHAnsi" w:hAnsiTheme="minorHAnsi" w:cstheme="minorHAnsi"/>
                <w:sz w:val="22"/>
                <w:szCs w:val="22"/>
              </w:rPr>
            </w:pPr>
            <w:r w:rsidRPr="00464664">
              <w:rPr>
                <w:rFonts w:asciiTheme="minorHAnsi" w:hAnsiTheme="minorHAnsi" w:cstheme="minorHAnsi"/>
                <w:sz w:val="22"/>
                <w:szCs w:val="22"/>
              </w:rPr>
              <w:t>Komentar je načelan.</w:t>
            </w:r>
          </w:p>
          <w:p w:rsidR="00AD708A" w:rsidRPr="00AD708A" w:rsidRDefault="00AD708A" w:rsidP="00760099">
            <w:pPr>
              <w:jc w:val="both"/>
              <w:rPr>
                <w:rFonts w:asciiTheme="minorHAnsi" w:hAnsiTheme="minorHAnsi" w:cstheme="minorHAnsi"/>
                <w:color w:val="auto"/>
              </w:rPr>
            </w:pPr>
            <w:r w:rsidRPr="00AD708A">
              <w:rPr>
                <w:rFonts w:asciiTheme="minorHAnsi" w:hAnsiTheme="minorHAnsi" w:cstheme="minorHAnsi"/>
                <w:color w:val="auto"/>
              </w:rPr>
              <w:t xml:space="preserve">Člankom 7. stavkom 5. Zakona o kulturnim vijećima i financiranju javnih potreba u kulturi propisano je da se posebni javni pozivi mogu raspisivati i tijekom godine, ovisno o prioritetima kulturne politike i sredstvima državnog proračuna i proračuna jedinica lokalne i područne (regionalne) samouprave (NN 83/22). </w:t>
            </w:r>
          </w:p>
          <w:p w:rsidR="00AD708A" w:rsidRDefault="00AD708A" w:rsidP="00760099">
            <w:pPr>
              <w:jc w:val="both"/>
              <w:rPr>
                <w:rFonts w:asciiTheme="minorHAnsi" w:hAnsiTheme="minorHAnsi" w:cstheme="minorHAnsi"/>
                <w:color w:val="FF0000"/>
              </w:rPr>
            </w:pPr>
          </w:p>
          <w:p w:rsidR="00AD708A" w:rsidRDefault="00AD708A" w:rsidP="00760099">
            <w:pPr>
              <w:jc w:val="both"/>
              <w:rPr>
                <w:rFonts w:asciiTheme="minorHAnsi" w:hAnsiTheme="minorHAnsi" w:cstheme="minorHAnsi"/>
                <w:strike/>
                <w:color w:val="FF0000"/>
              </w:rPr>
            </w:pPr>
          </w:p>
          <w:p w:rsidR="00AD708A" w:rsidRDefault="00AD708A" w:rsidP="00760099">
            <w:pPr>
              <w:jc w:val="both"/>
              <w:rPr>
                <w:rFonts w:asciiTheme="minorHAnsi" w:hAnsiTheme="minorHAnsi" w:cstheme="minorHAnsi"/>
                <w:strike/>
                <w:color w:val="FF0000"/>
              </w:rPr>
            </w:pPr>
          </w:p>
          <w:p w:rsidR="00AD708A" w:rsidRDefault="00AD708A" w:rsidP="00760099">
            <w:pPr>
              <w:jc w:val="both"/>
              <w:rPr>
                <w:rFonts w:asciiTheme="minorHAnsi" w:hAnsiTheme="minorHAnsi" w:cstheme="minorHAnsi"/>
                <w:strike/>
                <w:color w:val="FF0000"/>
              </w:rPr>
            </w:pPr>
          </w:p>
          <w:p w:rsidR="00AD708A" w:rsidRDefault="00AD708A" w:rsidP="00760099">
            <w:pPr>
              <w:jc w:val="both"/>
              <w:rPr>
                <w:rFonts w:asciiTheme="minorHAnsi" w:hAnsiTheme="minorHAnsi" w:cstheme="minorHAnsi"/>
                <w:strike/>
                <w:color w:val="FF0000"/>
              </w:rPr>
            </w:pPr>
          </w:p>
          <w:p w:rsidR="00AD708A" w:rsidRDefault="00AD708A" w:rsidP="00760099">
            <w:pPr>
              <w:jc w:val="both"/>
              <w:rPr>
                <w:rFonts w:asciiTheme="minorHAnsi" w:hAnsiTheme="minorHAnsi" w:cstheme="minorHAnsi"/>
                <w:strike/>
                <w:color w:val="FF0000"/>
              </w:rPr>
            </w:pPr>
          </w:p>
          <w:p w:rsidR="00AD708A" w:rsidRDefault="00AD708A" w:rsidP="00760099">
            <w:pPr>
              <w:jc w:val="both"/>
              <w:rPr>
                <w:rFonts w:asciiTheme="minorHAnsi" w:hAnsiTheme="minorHAnsi" w:cstheme="minorHAnsi"/>
                <w:strike/>
                <w:color w:val="FF0000"/>
              </w:rPr>
            </w:pPr>
          </w:p>
          <w:p w:rsidR="00AD708A" w:rsidRDefault="00AD708A" w:rsidP="00760099">
            <w:pPr>
              <w:jc w:val="both"/>
              <w:rPr>
                <w:rFonts w:asciiTheme="minorHAnsi" w:hAnsiTheme="minorHAnsi" w:cstheme="minorHAnsi"/>
                <w:strike/>
                <w:color w:val="FF0000"/>
              </w:rPr>
            </w:pPr>
          </w:p>
          <w:p w:rsidR="00AD708A" w:rsidRDefault="00AD708A" w:rsidP="00760099">
            <w:pPr>
              <w:jc w:val="both"/>
              <w:rPr>
                <w:rFonts w:asciiTheme="minorHAnsi" w:hAnsiTheme="minorHAnsi" w:cstheme="minorHAnsi"/>
                <w:strike/>
                <w:color w:val="FF0000"/>
              </w:rPr>
            </w:pPr>
          </w:p>
          <w:p w:rsidR="00AD708A" w:rsidRDefault="00AD708A" w:rsidP="00760099">
            <w:pPr>
              <w:jc w:val="both"/>
              <w:rPr>
                <w:rFonts w:asciiTheme="minorHAnsi" w:hAnsiTheme="minorHAnsi" w:cstheme="minorHAnsi"/>
                <w:strike/>
                <w:color w:val="FF0000"/>
              </w:rPr>
            </w:pPr>
          </w:p>
          <w:p w:rsidR="00AD708A" w:rsidRDefault="00AD708A" w:rsidP="00760099">
            <w:pPr>
              <w:jc w:val="both"/>
              <w:rPr>
                <w:rFonts w:asciiTheme="minorHAnsi" w:hAnsiTheme="minorHAnsi" w:cstheme="minorHAnsi"/>
                <w:strike/>
                <w:color w:val="FF0000"/>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Default="00AD708A" w:rsidP="00760099">
            <w:pPr>
              <w:jc w:val="both"/>
              <w:rPr>
                <w:rFonts w:asciiTheme="minorHAnsi" w:hAnsiTheme="minorHAnsi" w:cstheme="minorHAnsi"/>
              </w:rPr>
            </w:pPr>
          </w:p>
          <w:p w:rsidR="00AD708A" w:rsidRDefault="00AD708A" w:rsidP="00760099">
            <w:pPr>
              <w:jc w:val="both"/>
              <w:rPr>
                <w:rFonts w:asciiTheme="minorHAnsi" w:hAnsiTheme="minorHAnsi" w:cstheme="minorHAnsi"/>
              </w:rPr>
            </w:pPr>
          </w:p>
          <w:p w:rsidR="00AD708A" w:rsidRDefault="00AD708A" w:rsidP="00760099">
            <w:pPr>
              <w:jc w:val="both"/>
              <w:rPr>
                <w:rFonts w:asciiTheme="minorHAnsi" w:hAnsiTheme="minorHAnsi" w:cstheme="minorHAnsi"/>
              </w:rPr>
            </w:pPr>
          </w:p>
          <w:p w:rsidR="00AD708A" w:rsidRDefault="00AD708A" w:rsidP="00760099">
            <w:pPr>
              <w:jc w:val="both"/>
              <w:rPr>
                <w:rFonts w:asciiTheme="minorHAnsi" w:hAnsiTheme="minorHAnsi" w:cstheme="minorHAnsi"/>
              </w:rPr>
            </w:pPr>
          </w:p>
          <w:p w:rsidR="00AD708A" w:rsidRDefault="00AD708A" w:rsidP="00760099">
            <w:pPr>
              <w:jc w:val="both"/>
              <w:rPr>
                <w:rFonts w:asciiTheme="minorHAnsi" w:hAnsiTheme="minorHAnsi" w:cstheme="minorHAnsi"/>
              </w:rPr>
            </w:pPr>
          </w:p>
          <w:p w:rsidR="00AD708A"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r w:rsidRPr="00464664">
              <w:rPr>
                <w:rFonts w:asciiTheme="minorHAnsi" w:hAnsiTheme="minorHAnsi" w:cstheme="minorHAnsi"/>
              </w:rPr>
              <w:t>Prijedlog nije prihvaćen.</w:t>
            </w: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strike/>
              </w:rPr>
            </w:pPr>
            <w:r>
              <w:rPr>
                <w:rFonts w:asciiTheme="minorHAnsi" w:hAnsiTheme="minorHAnsi" w:cstheme="minorHAnsi"/>
              </w:rPr>
              <w:t xml:space="preserve">Programom se sufinancira konkretni programski sadržaj namijenjen objavi u elektroničkim publikacijama, a ne dosadašnji sadržaj elektroničke publikacije. </w:t>
            </w:r>
          </w:p>
          <w:p w:rsidR="00AD708A" w:rsidRPr="00464664" w:rsidRDefault="00AD708A" w:rsidP="00760099">
            <w:pPr>
              <w:pStyle w:val="Tekstkomentara"/>
              <w:rPr>
                <w:rFonts w:asciiTheme="minorHAnsi" w:hAnsiTheme="minorHAnsi" w:cstheme="minorHAnsi"/>
                <w:sz w:val="22"/>
                <w:szCs w:val="22"/>
              </w:rPr>
            </w:pPr>
            <w:r w:rsidRPr="00464664">
              <w:rPr>
                <w:rFonts w:asciiTheme="minorHAnsi" w:hAnsiTheme="minorHAnsi" w:cstheme="minorHAnsi"/>
                <w:sz w:val="22"/>
                <w:szCs w:val="22"/>
              </w:rPr>
              <w:t>Na dosadašnju kvalitetu portala odnose se dva kriterija: Reference nakladnika u proizvodnji sličnih sadržaja, mreža vanjskih suradnika (domaćih i stranih autora, prevoditelja, stručnjaka i novinara) i Reference redakcijskog i uredničkog tima, dosadašnji rad i iskustvo u provođenju programa</w:t>
            </w: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r w:rsidRPr="00464664">
              <w:rPr>
                <w:rFonts w:asciiTheme="minorHAnsi" w:hAnsiTheme="minorHAnsi" w:cstheme="minorHAnsi"/>
                <w:sz w:val="22"/>
                <w:szCs w:val="22"/>
              </w:rPr>
              <w:t xml:space="preserve">Primjedba nije prihvaćena. </w:t>
            </w:r>
          </w:p>
          <w:p w:rsidR="00AD708A" w:rsidRPr="00464664" w:rsidRDefault="00AD708A" w:rsidP="00760099">
            <w:pPr>
              <w:pStyle w:val="Tekstkomentara"/>
              <w:rPr>
                <w:rFonts w:asciiTheme="minorHAnsi" w:hAnsiTheme="minorHAnsi" w:cstheme="minorHAnsi"/>
                <w:sz w:val="22"/>
                <w:szCs w:val="22"/>
              </w:rPr>
            </w:pPr>
            <w:r w:rsidRPr="00464664">
              <w:rPr>
                <w:rFonts w:asciiTheme="minorHAnsi" w:hAnsiTheme="minorHAnsi" w:cstheme="minorHAnsi"/>
                <w:sz w:val="22"/>
                <w:szCs w:val="22"/>
              </w:rPr>
              <w:t xml:space="preserve">Pod digitalnom pristupačnošću podrazumijevamo da sadržaj elektroničkih publikacija ima mogućnost prilagodbe osobama s vizualnim, slušnim, motoričkim ili kognitivnim poteškoćama. Tu se primjerice misli na mogućnost promjene veličine slova bez gubitka </w:t>
            </w:r>
            <w:r w:rsidRPr="00464664">
              <w:rPr>
                <w:rFonts w:asciiTheme="minorHAnsi" w:hAnsiTheme="minorHAnsi" w:cstheme="minorHAnsi"/>
                <w:sz w:val="22"/>
                <w:szCs w:val="22"/>
              </w:rPr>
              <w:lastRenderedPageBreak/>
              <w:t>okolnog teksta, korištenje dobrog kontrasta teksta u odnosu na pozadinu te opciju promjene kontrasta, mogućnost mijenjanja fonta u font pogodan za osobe s disleksijom i slično.</w:t>
            </w:r>
          </w:p>
          <w:p w:rsidR="00AD708A" w:rsidRPr="00464664" w:rsidRDefault="00AD708A" w:rsidP="00760099">
            <w:pPr>
              <w:jc w:val="both"/>
              <w:rPr>
                <w:rFonts w:asciiTheme="minorHAnsi" w:hAnsiTheme="minorHAnsi" w:cstheme="minorHAnsi"/>
              </w:rPr>
            </w:pPr>
          </w:p>
          <w:p w:rsidR="00AD708A" w:rsidRDefault="00AD708A" w:rsidP="00760099">
            <w:pPr>
              <w:pStyle w:val="Tekstkomentara"/>
              <w:rPr>
                <w:rFonts w:asciiTheme="minorHAnsi" w:hAnsiTheme="minorHAnsi" w:cstheme="minorHAnsi"/>
                <w:sz w:val="22"/>
                <w:szCs w:val="22"/>
              </w:rPr>
            </w:pPr>
          </w:p>
          <w:p w:rsidR="00AD708A" w:rsidRPr="00AD708A" w:rsidRDefault="00AD708A" w:rsidP="00760099">
            <w:pPr>
              <w:pStyle w:val="Tekstkomentara"/>
              <w:rPr>
                <w:rFonts w:asciiTheme="minorHAnsi" w:hAnsiTheme="minorHAnsi" w:cstheme="minorHAnsi"/>
                <w:sz w:val="22"/>
                <w:szCs w:val="22"/>
              </w:rPr>
            </w:pPr>
            <w:r w:rsidRPr="00AD708A">
              <w:rPr>
                <w:rFonts w:asciiTheme="minorHAnsi" w:hAnsiTheme="minorHAnsi" w:cstheme="minorHAnsi"/>
                <w:sz w:val="22"/>
                <w:szCs w:val="22"/>
              </w:rPr>
              <w:t>Komentar je načelan i nema konkretni prijedlog</w:t>
            </w: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Pr="00464664" w:rsidRDefault="00AD708A" w:rsidP="00760099">
            <w:pPr>
              <w:pStyle w:val="Tekstkomentara"/>
              <w:rPr>
                <w:rFonts w:asciiTheme="minorHAnsi" w:hAnsiTheme="minorHAnsi" w:cstheme="minorHAnsi"/>
                <w:sz w:val="22"/>
                <w:szCs w:val="22"/>
              </w:rPr>
            </w:pPr>
            <w:r w:rsidRPr="00464664">
              <w:rPr>
                <w:rFonts w:asciiTheme="minorHAnsi" w:hAnsiTheme="minorHAnsi" w:cstheme="minorHAnsi"/>
                <w:sz w:val="22"/>
                <w:szCs w:val="22"/>
              </w:rPr>
              <w:t xml:space="preserve">Prijedlog se ne prihvaća. </w:t>
            </w:r>
          </w:p>
          <w:p w:rsidR="00AD708A" w:rsidRPr="00464664" w:rsidRDefault="00AD708A" w:rsidP="00760099">
            <w:pPr>
              <w:pStyle w:val="Tekstkomentara"/>
              <w:rPr>
                <w:rFonts w:asciiTheme="minorHAnsi" w:hAnsiTheme="minorHAnsi" w:cstheme="minorHAnsi"/>
                <w:sz w:val="22"/>
                <w:szCs w:val="22"/>
              </w:rPr>
            </w:pPr>
            <w:r w:rsidRPr="00464664">
              <w:rPr>
                <w:rFonts w:asciiTheme="minorHAnsi" w:hAnsiTheme="minorHAnsi" w:cstheme="minorHAnsi"/>
                <w:sz w:val="22"/>
                <w:szCs w:val="22"/>
              </w:rPr>
              <w:t>Člankom 10. stavkom 1. Zakona o pravu na pristup informacijama (NN 25/13, 85/15, 69/22) taksativno su nabrojane informacije koje su tijela javne vlasti obvezna objavljivati na internetskim stranicama.</w:t>
            </w:r>
          </w:p>
          <w:p w:rsidR="00AD708A" w:rsidRPr="00464664"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Default="00AD708A" w:rsidP="00760099">
            <w:pPr>
              <w:pStyle w:val="Tekstkomentara"/>
              <w:rPr>
                <w:rFonts w:asciiTheme="minorHAnsi" w:hAnsiTheme="minorHAnsi" w:cstheme="minorHAnsi"/>
                <w:sz w:val="22"/>
                <w:szCs w:val="22"/>
              </w:rPr>
            </w:pPr>
          </w:p>
          <w:p w:rsidR="00AD708A" w:rsidRPr="00BC5984" w:rsidRDefault="00AD708A" w:rsidP="00760099">
            <w:pPr>
              <w:pStyle w:val="Tekstkomentara"/>
              <w:rPr>
                <w:rFonts w:asciiTheme="minorHAnsi" w:hAnsiTheme="minorHAnsi" w:cstheme="minorHAnsi"/>
                <w:sz w:val="22"/>
                <w:szCs w:val="22"/>
              </w:rPr>
            </w:pPr>
            <w:r w:rsidRPr="00464664">
              <w:rPr>
                <w:rFonts w:asciiTheme="minorHAnsi" w:hAnsiTheme="minorHAnsi" w:cstheme="minorHAnsi"/>
                <w:sz w:val="22"/>
                <w:szCs w:val="22"/>
              </w:rPr>
              <w:t>Prijedlog se ne odnosi na tekst Programa</w:t>
            </w:r>
          </w:p>
          <w:p w:rsidR="00AD708A" w:rsidRPr="00BC5984" w:rsidRDefault="00AD708A" w:rsidP="00760099">
            <w:pPr>
              <w:jc w:val="both"/>
              <w:rPr>
                <w:rFonts w:asciiTheme="minorHAnsi" w:hAnsiTheme="minorHAnsi" w:cstheme="minorHAnsi"/>
              </w:rPr>
            </w:pPr>
            <w:r w:rsidRPr="00BC5984">
              <w:rPr>
                <w:rFonts w:asciiTheme="minorHAnsi" w:hAnsiTheme="minorHAnsi" w:cstheme="minorHAnsi"/>
              </w:rPr>
              <w:t>Povjerenstvo je radno tijelo gradonačelnika čiji je rad definiran</w:t>
            </w:r>
            <w:r>
              <w:rPr>
                <w:rFonts w:asciiTheme="minorHAnsi" w:hAnsiTheme="minorHAnsi" w:cstheme="minorHAnsi"/>
              </w:rPr>
              <w:t xml:space="preserve"> člancima 17.-19.</w:t>
            </w:r>
            <w:r w:rsidRPr="00BC5984">
              <w:rPr>
                <w:rFonts w:asciiTheme="minorHAnsi" w:hAnsiTheme="minorHAnsi" w:cstheme="minorHAnsi"/>
              </w:rPr>
              <w:t xml:space="preserve"> </w:t>
            </w:r>
            <w:r>
              <w:rPr>
                <w:rFonts w:asciiTheme="minorHAnsi" w:hAnsiTheme="minorHAnsi" w:cstheme="minorHAnsi"/>
              </w:rPr>
              <w:t>Poslovnika gradonačelnika Grada Zagreba</w:t>
            </w:r>
            <w:r w:rsidRPr="00BC5984">
              <w:rPr>
                <w:rFonts w:asciiTheme="minorHAnsi" w:hAnsiTheme="minorHAnsi" w:cstheme="minorHAnsi"/>
              </w:rPr>
              <w:t xml:space="preserve"> (</w:t>
            </w:r>
            <w:r>
              <w:rPr>
                <w:rFonts w:asciiTheme="minorHAnsi" w:hAnsiTheme="minorHAnsi" w:cstheme="minorHAnsi"/>
              </w:rPr>
              <w:t>Službeni glasnik 9/10, 7/18) te poslovnik o radu Povjerenstva mora biti u skladu s odredbama navedenih članaka.</w:t>
            </w: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jc w:val="both"/>
              <w:rPr>
                <w:rFonts w:asciiTheme="minorHAnsi" w:hAnsiTheme="minorHAnsi" w:cstheme="minorHAnsi"/>
              </w:rPr>
            </w:pPr>
          </w:p>
          <w:p w:rsidR="00AD708A" w:rsidRPr="00464664" w:rsidRDefault="00AD708A" w:rsidP="00760099">
            <w:pPr>
              <w:pStyle w:val="Tekstkomentara"/>
              <w:rPr>
                <w:rFonts w:asciiTheme="minorHAnsi" w:hAnsiTheme="minorHAnsi" w:cstheme="minorHAnsi"/>
                <w:sz w:val="22"/>
                <w:szCs w:val="22"/>
              </w:rPr>
            </w:pPr>
            <w:r w:rsidRPr="00464664">
              <w:rPr>
                <w:rFonts w:asciiTheme="minorHAnsi" w:hAnsiTheme="minorHAnsi" w:cstheme="minorHAnsi"/>
                <w:sz w:val="22"/>
                <w:szCs w:val="22"/>
              </w:rPr>
              <w:t>Prijedlog se ne prihvaća.</w:t>
            </w:r>
          </w:p>
          <w:p w:rsidR="00AD708A" w:rsidRPr="006E24C1" w:rsidRDefault="00AD708A" w:rsidP="00760099">
            <w:pPr>
              <w:jc w:val="both"/>
              <w:rPr>
                <w:rFonts w:asciiTheme="minorHAnsi" w:hAnsiTheme="minorHAnsi" w:cstheme="minorHAnsi"/>
              </w:rPr>
            </w:pPr>
            <w:bookmarkStart w:id="0" w:name="_GoBack"/>
            <w:bookmarkEnd w:id="0"/>
            <w:r w:rsidRPr="006E24C1">
              <w:rPr>
                <w:rFonts w:asciiTheme="minorHAnsi" w:hAnsiTheme="minorHAnsi" w:cstheme="minorHAnsi"/>
              </w:rPr>
              <w:t>Vidjeti komentar iznad</w:t>
            </w:r>
          </w:p>
        </w:tc>
      </w:tr>
    </w:tbl>
    <w:p w:rsidR="00AD708A" w:rsidRPr="00464664" w:rsidRDefault="00AD708A" w:rsidP="00AD708A">
      <w:pPr>
        <w:rPr>
          <w:rFonts w:asciiTheme="minorHAnsi" w:hAnsiTheme="minorHAnsi" w:cstheme="minorHAnsi"/>
        </w:rPr>
      </w:pPr>
    </w:p>
    <w:p w:rsidR="00BE0ED6" w:rsidRDefault="00AD708A"/>
    <w:sectPr w:rsidR="00BE0ED6" w:rsidSect="00554A3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1703A"/>
    <w:multiLevelType w:val="hybridMultilevel"/>
    <w:tmpl w:val="E12CDF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8A"/>
    <w:rsid w:val="007773B4"/>
    <w:rsid w:val="00A03F23"/>
    <w:rsid w:val="00AD70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8297"/>
  <w15:chartTrackingRefBased/>
  <w15:docId w15:val="{ACF7B631-9349-4F20-9674-E33E9BD6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08A"/>
    <w:rPr>
      <w:rFonts w:ascii="Calibri" w:eastAsia="Calibri" w:hAnsi="Calibri" w:cs="Calibri"/>
      <w:color w:val="000000"/>
      <w:lang w:eastAsia="hr-HR"/>
    </w:rPr>
  </w:style>
  <w:style w:type="paragraph" w:styleId="Naslov2">
    <w:name w:val="heading 2"/>
    <w:basedOn w:val="Normal"/>
    <w:next w:val="Normal"/>
    <w:link w:val="Naslov2Char"/>
    <w:uiPriority w:val="9"/>
    <w:semiHidden/>
    <w:unhideWhenUsed/>
    <w:qFormat/>
    <w:rsid w:val="00AD708A"/>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AD708A"/>
    <w:rPr>
      <w:rFonts w:asciiTheme="majorHAnsi" w:eastAsiaTheme="majorEastAsia" w:hAnsiTheme="majorHAnsi" w:cstheme="majorBidi"/>
      <w:color w:val="2E74B5" w:themeColor="accent1" w:themeShade="BF"/>
      <w:sz w:val="26"/>
      <w:szCs w:val="26"/>
    </w:rPr>
  </w:style>
  <w:style w:type="table" w:customStyle="1" w:styleId="TableGrid">
    <w:name w:val="TableGrid"/>
    <w:rsid w:val="00AD708A"/>
    <w:pPr>
      <w:spacing w:after="0" w:line="240" w:lineRule="auto"/>
    </w:pPr>
    <w:rPr>
      <w:rFonts w:eastAsiaTheme="minorEastAsia"/>
      <w:lang w:eastAsia="hr-HR"/>
    </w:rPr>
    <w:tblPr>
      <w:tblCellMar>
        <w:top w:w="0" w:type="dxa"/>
        <w:left w:w="0" w:type="dxa"/>
        <w:bottom w:w="0" w:type="dxa"/>
        <w:right w:w="0" w:type="dxa"/>
      </w:tblCellMar>
    </w:tblPr>
  </w:style>
  <w:style w:type="table" w:styleId="Reetkatablice">
    <w:name w:val="Table Grid"/>
    <w:basedOn w:val="Obinatablica"/>
    <w:uiPriority w:val="39"/>
    <w:rsid w:val="00AD7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D708A"/>
    <w:pPr>
      <w:ind w:left="720"/>
      <w:contextualSpacing/>
    </w:pPr>
  </w:style>
  <w:style w:type="paragraph" w:styleId="Tekstkomentara">
    <w:name w:val="annotation text"/>
    <w:basedOn w:val="Normal"/>
    <w:link w:val="TekstkomentaraChar"/>
    <w:uiPriority w:val="99"/>
    <w:rsid w:val="00AD708A"/>
    <w:pPr>
      <w:spacing w:after="0" w:line="240" w:lineRule="auto"/>
    </w:pPr>
    <w:rPr>
      <w:rFonts w:ascii="Times New Roman" w:eastAsia="Times New Roman" w:hAnsi="Times New Roman" w:cs="Times New Roman"/>
      <w:color w:val="auto"/>
      <w:sz w:val="20"/>
      <w:szCs w:val="20"/>
    </w:rPr>
  </w:style>
  <w:style w:type="character" w:customStyle="1" w:styleId="TekstkomentaraChar">
    <w:name w:val="Tekst komentara Char"/>
    <w:basedOn w:val="Zadanifontodlomka"/>
    <w:link w:val="Tekstkomentara"/>
    <w:uiPriority w:val="99"/>
    <w:rsid w:val="00AD708A"/>
    <w:rPr>
      <w:rFonts w:ascii="Times New Roman" w:eastAsia="Times New Roman" w:hAnsi="Times New Roman" w:cs="Times New Roman"/>
      <w:sz w:val="20"/>
      <w:szCs w:val="20"/>
      <w:lang w:eastAsia="hr-HR"/>
    </w:rPr>
  </w:style>
  <w:style w:type="character" w:styleId="Hiperveza">
    <w:name w:val="Hyperlink"/>
    <w:basedOn w:val="Zadanifontodlomka"/>
    <w:uiPriority w:val="99"/>
    <w:semiHidden/>
    <w:unhideWhenUsed/>
    <w:rsid w:val="00AD70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kulture.gov.hr/print.aspx?id=12311&amp;url=print" TargetMode="External"/><Relationship Id="rId3" Type="http://schemas.openxmlformats.org/officeDocument/2006/relationships/settings" Target="settings.xml"/><Relationship Id="rId7" Type="http://schemas.openxmlformats.org/officeDocument/2006/relationships/hyperlink" Target="https://arhiva.h-alter.org/vijesti/opca-opcinjenost-muf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nd.hr/uploads/files/Preporuke.pdf" TargetMode="External"/><Relationship Id="rId5" Type="http://schemas.openxmlformats.org/officeDocument/2006/relationships/hyperlink" Target="https://www.hnd.hr/uploads/files/Modeli%20financiranja%20lokalnih%20medija.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2275</Words>
  <Characters>12974</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Roić</dc:creator>
  <cp:keywords/>
  <dc:description/>
  <cp:lastModifiedBy>Dunja Roić</cp:lastModifiedBy>
  <cp:revision>1</cp:revision>
  <dcterms:created xsi:type="dcterms:W3CDTF">2024-06-25T11:51:00Z</dcterms:created>
  <dcterms:modified xsi:type="dcterms:W3CDTF">2024-06-25T11:53:00Z</dcterms:modified>
</cp:coreProperties>
</file>